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59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9"/>
      </w:pPr>
      <w:r/>
      <w:r/>
    </w:p>
    <w:p>
      <w:pPr>
        <w:pStyle w:val="859"/>
        <w:ind w:firstLine="0"/>
      </w:pPr>
      <w:r/>
      <w:r/>
    </w:p>
    <w:p>
      <w:pPr>
        <w:pStyle w:val="859"/>
        <w:jc w:val="center"/>
        <w:rPr>
          <w:b/>
          <w:bCs/>
          <w:highlight w:val="none"/>
        </w:rPr>
      </w:pPr>
      <w:r>
        <w:rPr>
          <w:b/>
          <w:bCs/>
        </w:rPr>
        <w:t xml:space="preserve">Протокол № 4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59"/>
        <w:ind w:firstLine="0"/>
        <w:jc w:val="center"/>
      </w:pPr>
      <w:r>
        <w:rPr>
          <w:b/>
          <w:bCs/>
          <w:highlight w:val="none"/>
        </w:rPr>
        <w:t xml:space="preserve">заседания комиссии от 27 июня 2024</w:t>
      </w:r>
      <w:r/>
    </w:p>
    <w:p>
      <w:pPr>
        <w:pStyle w:val="859"/>
        <w:ind w:firstLine="0"/>
      </w:pPr>
      <w:r/>
      <w:r/>
    </w:p>
    <w:p>
      <w:pPr>
        <w:pStyle w:val="859"/>
        <w:ind w:firstLine="0"/>
      </w:pPr>
      <w:r>
        <w:t xml:space="preserve">Присутствовали (по отдельному списку)</w:t>
      </w:r>
      <w:r/>
    </w:p>
    <w:p>
      <w:pPr>
        <w:pStyle w:val="859"/>
        <w:ind w:firstLine="0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t xml:space="preserve">Председатель коми</w:t>
            </w:r>
            <w:r>
              <w:t xml:space="preserve">ссии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(председательствующий):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Шпикельман Александр Михайлович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Заместители председателя комитета: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Андреев Алексей Алексеевич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Быков Виталий Евгеньевич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t xml:space="preserve">Члены коми</w:t>
            </w:r>
            <w:r>
              <w:t xml:space="preserve">ссии</w:t>
            </w:r>
            <w:r>
              <w:t xml:space="preserve">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Калиниченко Александр Викторович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Курочкин Дмитрий Павлович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Новоселов Яков Борисович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Смышляев Евгений Валерьевич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Тырина Елена Николаевна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r>
        <w:rPr>
          <w:highlight w:val="none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Референт: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</w:tr>
    </w:tbl>
    <w:p>
      <w:pPr>
        <w:pStyle w:val="859"/>
        <w:ind w:firstLine="0"/>
      </w:pPr>
      <w:r/>
      <w:r/>
    </w:p>
    <w:p>
      <w:pPr>
        <w:pStyle w:val="859"/>
        <w:ind w:firstLine="0"/>
      </w:pPr>
      <w:r/>
      <w:r/>
    </w:p>
    <w:p>
      <w:pPr>
        <w:pStyle w:val="859"/>
        <w:ind w:firstLine="0"/>
      </w:pPr>
      <w:r/>
      <w:r/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1. О проекте повестки дня.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Проект повестки утвердить, заседание провести в закрытом режиме. 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54"/>
        <w:ind w:right="-18" w:firstLine="567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</w:t>
      </w:r>
      <w:r>
        <w:rPr>
          <w:b/>
          <w:bCs/>
          <w:spacing w:val="2"/>
          <w:sz w:val="28"/>
          <w:szCs w:val="28"/>
        </w:rPr>
        <w:t xml:space="preserve">О состоянии законности и правопорядка в регионе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-1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Доклад: представители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правоохранительных органов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Заслушанную информацию принять к сведению. 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59"/>
        <w:ind w:left="0" w:right="0" w:firstLine="567"/>
      </w:pPr>
      <w:r/>
      <w:r/>
    </w:p>
    <w:p>
      <w:pPr>
        <w:pStyle w:val="859"/>
        <w:ind w:left="0" w:right="0" w:firstLine="567"/>
        <w:rPr>
          <w:b/>
          <w:bCs/>
          <w:sz w:val="28"/>
          <w:szCs w:val="28"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3. </w:t>
      </w:r>
      <w:r>
        <w:rPr>
          <w:b/>
          <w:bCs/>
          <w:sz w:val="28"/>
          <w:szCs w:val="28"/>
          <w:highlight w:val="none"/>
        </w:rPr>
        <w:t xml:space="preserve">О проекте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8"/>
          <w:szCs w:val="28"/>
        </w:rPr>
        <w:t xml:space="preserve">648716-8 «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8"/>
          <w:szCs w:val="28"/>
        </w:rPr>
        <w:t xml:space="preserve">О внесении изменения в статью 37 Уголовного кодекса Российской Федерации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</w:rPr>
        <w:t xml:space="preserve">Доклад: Быков Виталий Евгеньевич – зам.председателя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Заслушанную информацию принять к сведению. 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/>
    </w:p>
    <w:p>
      <w:pPr>
        <w:pStyle w:val="859"/>
        <w:ind w:firstLine="0"/>
      </w:pPr>
      <w:r/>
      <w:r/>
    </w:p>
    <w:p>
      <w:pPr>
        <w:pStyle w:val="859"/>
        <w:jc w:val="center"/>
      </w:pPr>
      <w:r/>
      <w:r/>
    </w:p>
    <w:p>
      <w:pPr>
        <w:pStyle w:val="859"/>
        <w:jc w:val="center"/>
      </w:pPr>
      <w:r/>
      <w:r/>
    </w:p>
    <w:p>
      <w:pPr>
        <w:pStyle w:val="859"/>
        <w:jc w:val="center"/>
      </w:pPr>
      <w:r/>
      <w:r/>
    </w:p>
    <w:p>
      <w:pPr>
        <w:pStyle w:val="855"/>
        <w:ind w:firstLine="0"/>
        <w:jc w:val="left"/>
        <w:spacing w:before="120" w:after="120"/>
        <w:tabs>
          <w:tab w:val="right" w:pos="10206" w:leader="none"/>
        </w:tabs>
        <w:rPr>
          <w:b w:val="0"/>
        </w:rPr>
      </w:pPr>
      <w:r>
        <w:rPr>
          <w:b w:val="0"/>
        </w:rPr>
        <w:t xml:space="preserve">Председатель комиcсии</w:t>
        <w:tab/>
        <w:t xml:space="preserve">А.М.Шпикельман</w:t>
      </w:r>
      <w:r>
        <w:rPr>
          <w:b w:val="0"/>
        </w:rPr>
      </w:r>
      <w:r>
        <w:rPr>
          <w:b w:val="0"/>
        </w:rPr>
      </w:r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9</cp:revision>
  <dcterms:created xsi:type="dcterms:W3CDTF">2023-12-25T04:09:00Z</dcterms:created>
  <dcterms:modified xsi:type="dcterms:W3CDTF">2024-09-18T04:00:29Z</dcterms:modified>
  <cp:version>1048576</cp:version>
</cp:coreProperties>
</file>