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-142875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027027" name=""/>
                        <pic:cNvPicPr/>
                        <pic:nvPr/>
                      </pic:nvPicPr>
                      <pic:blipFill>
                        <a:blip r:embed="rId8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4.4pt;mso-position-horizontal:absolute;mso-position-vertical-relative:text;margin-top:-11.2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2"/>
        <w:jc w:val="right"/>
      </w:pPr>
      <w:r>
        <w:t xml:space="preserve">ПРОЕКТ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  <w:t xml:space="preserve">ЗАКОНОДАТЕЛЬНОЕ СОБРАНИЕ НОВОСИБИРСКОЙ ОБЛАСТИ</w:t>
      </w:r>
      <w:r/>
    </w:p>
    <w:p>
      <w:pPr>
        <w:pStyle w:val="815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К О М И С С И Я</w:t>
        <w:br/>
        <w:t xml:space="preserve">ПО ВЗАИМОДЕЙСТВИЮ С ПРАВООХРАНИТЕЛЬНЫМИ ОРГАНАМИ</w:t>
      </w:r>
      <w:bookmarkEnd w:id="0"/>
      <w:r/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ПРОТИВОДЕЙСТВИЮ КОРРУПЦИИ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  <w:r/>
    </w:p>
    <w:tbl>
      <w:tblPr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07"/>
        <w:gridCol w:w="3036"/>
        <w:gridCol w:w="3579"/>
      </w:tblGrid>
      <w:tr>
        <w:trPr>
          <w:trHeight w:val="7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7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Кирова, 3,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6300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36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9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296-53-92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corupt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17780</wp:posOffset>
                      </wp:positionV>
                      <wp:extent cx="6304620" cy="0"/>
                      <wp:effectExtent l="9525" t="9525" r="9525" b="952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30461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-7.6pt,1.4pt" to="488.8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</w:tbl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овестка 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10 октября 2023 года</w:t>
      </w:r>
      <w:r/>
    </w:p>
    <w:p>
      <w:pPr>
        <w:pStyle w:val="815"/>
        <w:ind w:left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14:00 </w:t>
      </w:r>
      <w:r>
        <w:rPr>
          <w:rFonts w:ascii="Times New Roman" w:hAnsi="Times New Roman" w:cs="Times New Roman"/>
          <w:sz w:val="28"/>
          <w:szCs w:val="28"/>
        </w:rPr>
        <w:t xml:space="preserve">Кирова, 3 малый зал </w:t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</w:r>
      <w:r/>
    </w:p>
    <w:p>
      <w:pPr>
        <w:pStyle w:val="815"/>
        <w:ind w:left="0" w:right="0" w:firstLine="567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16"/>
          <w:szCs w:val="16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 проекте повестки дня</w:t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О предложениях в план работы Законодательного Собрания Новосибирской области на 2024 год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                                                            А.М.Шпикельман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15"/>
        <w:ind w:left="0" w:righ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2023-10-19T08:52:37Z</dcterms:modified>
</cp:coreProperties>
</file>