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3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73"/>
      </w:pPr>
      <w:r/>
      <w:r/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4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73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78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73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73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78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78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25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25 июня 2025 года</w:t>
      </w:r>
      <w:r>
        <w:tab/>
      </w:r>
      <w:r>
        <w:tab/>
        <w:t xml:space="preserve">10-00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3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2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Заместители председателя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</w:t>
            </w:r>
            <w:r/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21</w:t>
      </w:r>
      <w:r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11;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  <w:highlight w:val="none"/>
        </w:rPr>
        <w:t xml:space="preserve">Об отчете о выполнении плана реализации наказов избирателей депутатам Законодательного Собрания Новосибирской области седьмого созыва за 2024 год</w:t>
      </w:r>
      <w:r>
        <w:rPr>
          <w:b/>
          <w:szCs w:val="28"/>
          <w:highlight w:val="none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978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ВЫСТУПИЛ:</w:t>
      </w:r>
      <w:r>
        <w:t xml:space="preserve"> Козловский Д.А.</w:t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73"/>
        <w:ind w:firstLine="708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Решетникова Льва Николаевича –</w:t>
      </w:r>
      <w:r>
        <w:t xml:space="preserve"> </w:t>
      </w:r>
      <w:r>
        <w:t xml:space="preserve">министра экономического развития Новосибирской области</w:t>
      </w:r>
      <w:r>
        <w:t xml:space="preserve"> по вопросу «</w:t>
      </w:r>
      <w:r>
        <w:t xml:space="preserve">Об отчете о выполнении плана реализации наказов избирателей депутатам Законодательного Собрания Новосибирской области седьмого созыва за 2024 год</w:t>
      </w:r>
      <w:r>
        <w:t xml:space="preserve">».</w:t>
      </w:r>
      <w:r/>
      <w:r/>
    </w:p>
    <w:p>
      <w:pPr>
        <w:pStyle w:val="973"/>
        <w:ind w:firstLine="708"/>
        <w:jc w:val="both"/>
        <w:shd w:val="clear" w:color="auto" w:fill="ffffff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2.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отчет о выполнении плана реализации наказов избирателей депутатам Законодательного Собрания Новосибирской области седьмого созыва за 2024 год</w:t>
      </w:r>
      <w:r>
        <w:t xml:space="preserve"> на пятьдесят девятую</w:t>
      </w:r>
      <w:r>
        <w:t xml:space="preserve"> 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11;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978"/>
        <w:ind w:firstLine="708"/>
        <w:spacing w:after="0" w:afterAutospacing="0"/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  <w:t xml:space="preserve">Об отчете о выполнении программы реализации наказов избирателей депутатам Законодательного Собрания Новосибирской области седьмого созыва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978"/>
        <w:spacing w:after="0" w:afterAutospacing="0"/>
        <w:rPr>
          <w:bCs w:val="0"/>
          <w:i w:val="0"/>
          <w:highlight w:val="none"/>
        </w:rPr>
      </w:pPr>
      <w:r>
        <w:rPr>
          <w:i w:val="0"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/>
      <w:r>
        <w:rPr>
          <w:i w:val="0"/>
          <w:szCs w:val="28"/>
        </w:rPr>
      </w:r>
      <w:r>
        <w:rPr>
          <w:bCs w:val="0"/>
          <w:i w:val="0"/>
          <w:highlight w:val="none"/>
        </w:rPr>
      </w:r>
    </w:p>
    <w:p>
      <w:pPr>
        <w:pStyle w:val="978"/>
        <w:spacing w:after="0" w:afterAutospacing="0"/>
        <w:rPr>
          <w:b w:val="0"/>
          <w:bCs w:val="0"/>
          <w:i w:val="0"/>
          <w:highlight w:val="none"/>
        </w:rPr>
      </w:pPr>
      <w:r>
        <w:rPr>
          <w:b/>
          <w:bCs/>
          <w:i w:val="0"/>
          <w:szCs w:val="28"/>
          <w:highlight w:val="none"/>
        </w:rPr>
        <w:t xml:space="preserve">ВОПРОСЫ: </w:t>
      </w:r>
      <w:r>
        <w:rPr>
          <w:b w:val="0"/>
          <w:bCs w:val="0"/>
          <w:i w:val="0"/>
          <w:szCs w:val="28"/>
          <w:highlight w:val="none"/>
        </w:rPr>
        <w:t xml:space="preserve">Козловский Д.А., Умербаев И.Р., Шпикельман А.М., </w:t>
        <w:br/>
        <w:t xml:space="preserve">Яковлев Р.Б., Жуков А.В., Франчук Д.В.</w:t>
      </w:r>
      <w:r>
        <w:rPr>
          <w:b w:val="0"/>
          <w:bCs w:val="0"/>
          <w:i w:val="0"/>
          <w:szCs w:val="28"/>
          <w:highlight w:val="none"/>
        </w:rPr>
      </w:r>
    </w:p>
    <w:p>
      <w:pPr>
        <w:pStyle w:val="978"/>
        <w:spacing w:after="0" w:afterAutospacing="0"/>
        <w:rPr>
          <w:b w:val="0"/>
          <w:bCs w:val="0"/>
          <w:highlight w:val="none"/>
        </w:rPr>
      </w:pPr>
      <w:r>
        <w:rPr>
          <w:b/>
          <w:bCs/>
          <w:i w:val="0"/>
          <w:szCs w:val="28"/>
          <w:highlight w:val="none"/>
        </w:rPr>
        <w:t xml:space="preserve">ВЫСТУПИЛИ: </w:t>
      </w:r>
      <w:r>
        <w:rPr>
          <w:b w:val="0"/>
          <w:bCs w:val="0"/>
          <w:i w:val="0"/>
          <w:szCs w:val="28"/>
          <w:highlight w:val="none"/>
        </w:rPr>
        <w:t xml:space="preserve">Тимонов Д.С., Колупаев А.В., Шарф С.Е., Умербаев И.Р., Кодалаев И.В., Медведев М.Н., Шпикельман А.М., Шимкив А.И., Козловский Д.А.</w:t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73"/>
        <w:ind w:firstLine="708"/>
        <w:jc w:val="both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Решетникова Льва Николаевича –</w:t>
      </w:r>
      <w:r>
        <w:t xml:space="preserve"> </w:t>
      </w:r>
      <w:r>
        <w:t xml:space="preserve">министра экономического развития Новосибирской области</w:t>
      </w:r>
      <w:r>
        <w:t xml:space="preserve"> по вопросу «</w:t>
      </w:r>
      <w:r>
        <w:t xml:space="preserve">Об отчете о выполнении программы реализации наказов избирателей депутатам Законодательного Собрания Новосибирской области седьмого созыва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2. Отметить, что за период выполнения программы реализации наказов избирателей депутатам Законодательного Собрания Новосибирской области седьмого созыва </w:t>
      </w:r>
      <w:r>
        <w:rPr>
          <w:highlight w:val="none"/>
        </w:rPr>
        <w:t xml:space="preserve">исполнено 5785 наказов избирателей депутатам Законодательного Собрания Новосибирской области седьмого созыва на общую сумму 122,1 млрд рублей, в том числе 77,9 </w:t>
      </w:r>
      <w:r>
        <w:rPr>
          <w:highlight w:val="none"/>
        </w:rPr>
        <w:t xml:space="preserve">млрд рублей</w:t>
      </w:r>
      <w:r>
        <w:rPr>
          <w:highlight w:val="none"/>
        </w:rPr>
        <w:t xml:space="preserve"> за счет средств областного бюджета Новосибирской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3. Рекомендовать Правительству Новосибирской области: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1) продолжить в 2025 году выполнение наказов избирателей</w:t>
      </w:r>
      <w:r>
        <w:rPr>
          <w:highlight w:val="none"/>
        </w:rPr>
        <w:t xml:space="preserve"> в соответствии </w:t>
        <w:br/>
        <w:t xml:space="preserve">с планом реализации наказов избирателей депутатам Законодательного Собрания Новосибирской области седьмого созыва на 2025 год</w:t>
      </w:r>
      <w:r>
        <w:rPr>
          <w:highlight w:val="none"/>
        </w:rPr>
        <w:t xml:space="preserve">, утвержденным постановлением Законодательного Собрания </w:t>
      </w:r>
      <w:r>
        <w:rPr>
          <w:highlight w:val="none"/>
        </w:rPr>
        <w:t xml:space="preserve">от 27 марта 2025 года </w:t>
      </w:r>
      <w:r>
        <w:rPr>
          <w:highlight w:val="none"/>
        </w:rPr>
        <w:t xml:space="preserve">№ 66</w:t>
      </w:r>
      <w:r>
        <w:rPr>
          <w:highlight w:val="none"/>
        </w:rPr>
        <w:t xml:space="preserve"> «О плане реализации наказов избирателей депутатам Законодательного Собрания Новосибирской области седьмого созыва на 2025 год»;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2) </w:t>
      </w:r>
      <w:r>
        <w:rPr>
          <w:highlight w:val="none"/>
        </w:rPr>
        <w:t xml:space="preserve">в целях реализации положений</w:t>
      </w:r>
      <w:r>
        <w:rPr>
          <w:highlight w:val="none"/>
        </w:rPr>
        <w:t xml:space="preserve"> Закона Новосибирской области от 1 июля 2015 года № 574-ОЗ «О наказах избирателей депутатам Законодательного Собрания Новосибирской области» совместно с депутатами Законодательного Собрания Новосибирской области провести инвентаризацию наказов избирателей</w:t>
      </w:r>
      <w:r>
        <w:rPr>
          <w:highlight w:val="none"/>
        </w:rPr>
        <w:t xml:space="preserve"> со статусом «выполняется» для актуализации наказов и включения их в проект программы реализации наказов избирателей депутатам Законодательного Собрания Новосибирской области восьмого созыва.</w:t>
      </w:r>
      <w:r>
        <w:rPr>
          <w:highlight w:val="none"/>
        </w:rPr>
      </w:r>
      <w:r>
        <w:rPr>
          <w:highlight w:val="none"/>
        </w:rPr>
      </w:r>
    </w:p>
    <w:p>
      <w:pPr>
        <w:pStyle w:val="973"/>
        <w:ind w:firstLine="708"/>
        <w:jc w:val="both"/>
        <w:shd w:val="clear" w:color="auto" w:fill="ffffff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4.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отчет о выполнении </w:t>
      </w:r>
      <w:r>
        <w:t xml:space="preserve">программы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пятьдесят девятую</w:t>
      </w:r>
      <w:r>
        <w:t xml:space="preserve"> 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11;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74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pPr>
        <w:shd w:val="nil" w:color="auto"/>
      </w:pPr>
      <w:r>
        <w:br w:type="page" w:clear="all"/>
      </w:r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ind w:left="0" w:right="0" w:firstLine="709"/>
        <w:jc w:val="both"/>
        <w:tabs>
          <w:tab w:val="left" w:pos="425" w:leader="none"/>
          <w:tab w:val="left" w:pos="850" w:leader="none"/>
        </w:tabs>
      </w:pPr>
      <w:r>
        <w:rPr>
          <w:rFonts w:eastAsia="Calibri"/>
          <w:szCs w:val="28"/>
          <w:lang w:eastAsia="en-US"/>
        </w:rPr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3.</w:t>
        <w:tab/>
        <w:t xml:space="preserve">Дронь Вадим Викторович – член общественного Совета при Законодательном Собрании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4.</w:t>
        <w:tab/>
        <w:t xml:space="preserve">Зайков Дмитрий Викторович – начальник департамента энергетики, жилищного и коммунального хозяйства мэрии города Новосибирска;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5.</w:t>
        <w:tab/>
        <w:t xml:space="preserve">Кодалаев Иосиф Важаевич – первый заместитель мэра города Новосибирска;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6.</w:t>
        <w:tab/>
        <w:t xml:space="preserve">Колупаев Александр Валерьевич – заместитель министра здравоохранения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7.</w:t>
        <w:tab/>
        <w:t xml:space="preserve">Ларионова Елена Владимировна – консультант в департаменте по социально-экономическим вопросам аппарата Законодательного Собрания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8.</w:t>
        <w:tab/>
        <w:t xml:space="preserve">Маркитанова Елена Сергеевна – советник в департаменте по правовым вопросам аппарата Законодательного Собрания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9.</w:t>
        <w:tab/>
        <w:t xml:space="preserve">Медведев Михаил Николаевич – начальник отдела водоснабжения и водоотведения министерства жилищно-коммунального хозяйства и энергетики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10.</w:t>
        <w:tab/>
        <w:t xml:space="preserve">Мирошниченко Антон Александрович – заместитель министра транспорта и дорожного хозяйства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11.</w:t>
        <w:tab/>
        <w:t xml:space="preserve">Парыгина Марина Владиславовна – начальник отдела отраслевого планирования, программ развития социальной сферы и инфраструктуры министерства экономического развития Новосибирской области; 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12.</w:t>
        <w:tab/>
        <w:t xml:space="preserve">Пронин Дмитрий Анатольевич – заместитель министра физической культуры и спорта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13.</w:t>
        <w:tab/>
        <w:t xml:space="preserve">Решетников Лев Николаевич – министр экономического развития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14.</w:t>
        <w:tab/>
        <w:t xml:space="preserve">Тимонов Дмитрий Сергеевич – первый заместитель министра строительства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15.</w:t>
        <w:tab/>
        <w:t xml:space="preserve">Умербаев Игорь Равильевич – председатель комитета Законодательного Собрания Новосибирской области  по государственной политике, законодательству и местному самоуправлению;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16.</w:t>
        <w:tab/>
        <w:t xml:space="preserve">Уткина Лариса Анатольевна – начальник департамента экономики и стратегического планирования мэрии города Новосибирска;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17.</w:t>
        <w:tab/>
        <w:t xml:space="preserve">Шарф Сергей Евгеньевич – начальник управления материальных ресурсов министерства образования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18.</w:t>
        <w:tab/>
        <w:t xml:space="preserve">Шимкив Андрей Иванович – Председатель Законодательного Собрания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19.</w:t>
        <w:tab/>
        <w:t xml:space="preserve"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20.</w:t>
        <w:tab/>
        <w:t xml:space="preserve">Штоп Наталья Александровна – заместитель начальника управления экономики – начальник отдела экономики дорожного хозяйства министерства транспорта и дорожного хозяйства Новосибирской области;</w:t>
      </w:r>
      <w:r/>
    </w:p>
    <w:p>
      <w:pPr>
        <w:contextualSpacing w:val="0"/>
        <w:ind w:left="0" w:right="0" w:firstLine="709"/>
        <w:jc w:val="both"/>
        <w:tabs>
          <w:tab w:val="left" w:pos="425" w:leader="none"/>
          <w:tab w:val="left" w:pos="850" w:leader="none"/>
          <w:tab w:val="left" w:pos="992" w:leader="none"/>
          <w:tab w:val="left" w:pos="1134" w:leader="none"/>
        </w:tabs>
        <w:suppressLineNumbers w:val="0"/>
      </w:pPr>
      <w:r>
        <w:t xml:space="preserve">21.</w:t>
        <w:tab/>
        <w:t xml:space="preserve">Шуклина Юлия Константиновна – министр культуры Новосибирской области.</w:t>
      </w: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23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sz w:val="28"/>
        <w:szCs w:val="28"/>
      </w:rPr>
      <w:t xml:space="preserve">3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25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июня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5 года</w:t>
    </w:r>
    <w:r>
      <w:rPr>
        <w:rFonts w:ascii="Times New Roman" w:hAnsi="Times New Roman" w:eastAsia="Times New Roman"/>
        <w:highlight w:val="none"/>
      </w:rPr>
    </w:r>
    <w:r>
      <w:rPr>
        <w:rFonts w:ascii="Times New Roman" w:hAnsi="Times New Roman" w:eastAsia="Times New Roman"/>
        <w:highlight w:val="none"/>
      </w:rPr>
    </w:r>
  </w:p>
  <w:p>
    <w:pPr>
      <w:pStyle w:val="823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>
    <w:name w:val="Heading 1"/>
    <w:basedOn w:val="973"/>
    <w:next w:val="973"/>
    <w:link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6">
    <w:name w:val="Heading 1 Char"/>
    <w:link w:val="795"/>
    <w:uiPriority w:val="9"/>
    <w:rPr>
      <w:rFonts w:ascii="Arial" w:hAnsi="Arial" w:eastAsia="Arial" w:cs="Arial"/>
      <w:sz w:val="40"/>
      <w:szCs w:val="40"/>
    </w:rPr>
  </w:style>
  <w:style w:type="paragraph" w:styleId="797">
    <w:name w:val="Heading 2"/>
    <w:basedOn w:val="973"/>
    <w:next w:val="973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8">
    <w:name w:val="Heading 2 Char"/>
    <w:link w:val="797"/>
    <w:uiPriority w:val="9"/>
    <w:rPr>
      <w:rFonts w:ascii="Arial" w:hAnsi="Arial" w:eastAsia="Arial" w:cs="Arial"/>
      <w:sz w:val="34"/>
    </w:rPr>
  </w:style>
  <w:style w:type="paragraph" w:styleId="799">
    <w:name w:val="Heading 3"/>
    <w:basedOn w:val="973"/>
    <w:next w:val="973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0">
    <w:name w:val="Heading 3 Char"/>
    <w:link w:val="799"/>
    <w:uiPriority w:val="9"/>
    <w:rPr>
      <w:rFonts w:ascii="Arial" w:hAnsi="Arial" w:eastAsia="Arial" w:cs="Arial"/>
      <w:sz w:val="30"/>
      <w:szCs w:val="30"/>
    </w:rPr>
  </w:style>
  <w:style w:type="paragraph" w:styleId="801">
    <w:name w:val="Heading 4"/>
    <w:basedOn w:val="973"/>
    <w:next w:val="973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2">
    <w:name w:val="Heading 4 Char"/>
    <w:link w:val="801"/>
    <w:uiPriority w:val="9"/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973"/>
    <w:next w:val="973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4">
    <w:name w:val="Heading 5 Char"/>
    <w:link w:val="803"/>
    <w:uiPriority w:val="9"/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973"/>
    <w:next w:val="973"/>
    <w:link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6">
    <w:name w:val="Heading 6 Char"/>
    <w:link w:val="805"/>
    <w:uiPriority w:val="9"/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973"/>
    <w:next w:val="973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7 Char"/>
    <w:link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973"/>
    <w:next w:val="973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0">
    <w:name w:val="Heading 8 Char"/>
    <w:link w:val="809"/>
    <w:uiPriority w:val="9"/>
    <w:rPr>
      <w:rFonts w:ascii="Arial" w:hAnsi="Arial" w:eastAsia="Arial" w:cs="Arial"/>
      <w:i/>
      <w:iCs/>
      <w:sz w:val="22"/>
      <w:szCs w:val="22"/>
    </w:rPr>
  </w:style>
  <w:style w:type="paragraph" w:styleId="811">
    <w:name w:val="Heading 9"/>
    <w:basedOn w:val="973"/>
    <w:next w:val="973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Heading 9 Char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List Paragraph"/>
    <w:basedOn w:val="973"/>
    <w:uiPriority w:val="34"/>
    <w:qFormat/>
    <w:pPr>
      <w:contextualSpacing/>
      <w:ind w:left="720"/>
    </w:pPr>
  </w:style>
  <w:style w:type="paragraph" w:styleId="814">
    <w:name w:val="No Spacing"/>
    <w:uiPriority w:val="1"/>
    <w:qFormat/>
    <w:pPr>
      <w:spacing w:before="0" w:after="0" w:line="240" w:lineRule="auto"/>
    </w:pPr>
  </w:style>
  <w:style w:type="paragraph" w:styleId="815">
    <w:name w:val="Title"/>
    <w:basedOn w:val="973"/>
    <w:next w:val="973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6">
    <w:name w:val="Title Char"/>
    <w:link w:val="815"/>
    <w:uiPriority w:val="10"/>
    <w:rPr>
      <w:sz w:val="48"/>
      <w:szCs w:val="48"/>
    </w:rPr>
  </w:style>
  <w:style w:type="paragraph" w:styleId="817">
    <w:name w:val="Subtitle"/>
    <w:basedOn w:val="973"/>
    <w:next w:val="973"/>
    <w:link w:val="818"/>
    <w:uiPriority w:val="11"/>
    <w:qFormat/>
    <w:pPr>
      <w:spacing w:before="200" w:after="200"/>
    </w:pPr>
    <w:rPr>
      <w:sz w:val="24"/>
      <w:szCs w:val="24"/>
    </w:rPr>
  </w:style>
  <w:style w:type="character" w:styleId="818">
    <w:name w:val="Subtitle Char"/>
    <w:link w:val="817"/>
    <w:uiPriority w:val="11"/>
    <w:rPr>
      <w:sz w:val="24"/>
      <w:szCs w:val="24"/>
    </w:rPr>
  </w:style>
  <w:style w:type="paragraph" w:styleId="819">
    <w:name w:val="Quote"/>
    <w:basedOn w:val="973"/>
    <w:next w:val="973"/>
    <w:link w:val="820"/>
    <w:uiPriority w:val="29"/>
    <w:qFormat/>
    <w:pPr>
      <w:ind w:left="720" w:right="720"/>
    </w:pPr>
    <w:rPr>
      <w:i/>
    </w:rPr>
  </w:style>
  <w:style w:type="character" w:styleId="820">
    <w:name w:val="Quote Char"/>
    <w:link w:val="819"/>
    <w:uiPriority w:val="29"/>
    <w:rPr>
      <w:i/>
    </w:rPr>
  </w:style>
  <w:style w:type="paragraph" w:styleId="821">
    <w:name w:val="Intense Quote"/>
    <w:basedOn w:val="973"/>
    <w:next w:val="973"/>
    <w:link w:val="8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>
    <w:name w:val="Intense Quote Char"/>
    <w:link w:val="821"/>
    <w:uiPriority w:val="30"/>
    <w:rPr>
      <w:i/>
    </w:rPr>
  </w:style>
  <w:style w:type="paragraph" w:styleId="823">
    <w:name w:val="Header"/>
    <w:basedOn w:val="973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4">
    <w:name w:val="Header Char"/>
    <w:link w:val="823"/>
    <w:uiPriority w:val="99"/>
  </w:style>
  <w:style w:type="paragraph" w:styleId="825">
    <w:name w:val="Footer"/>
    <w:basedOn w:val="973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Footer Char"/>
    <w:link w:val="825"/>
    <w:uiPriority w:val="99"/>
  </w:style>
  <w:style w:type="paragraph" w:styleId="827">
    <w:name w:val="Caption"/>
    <w:basedOn w:val="973"/>
    <w:next w:val="9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>
    <w:name w:val="Caption Char"/>
    <w:basedOn w:val="827"/>
    <w:link w:val="825"/>
    <w:uiPriority w:val="99"/>
  </w:style>
  <w:style w:type="table" w:styleId="8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5">
    <w:name w:val="Hyperlink"/>
    <w:uiPriority w:val="99"/>
    <w:unhideWhenUsed/>
    <w:rPr>
      <w:color w:val="0000ff" w:themeColor="hyperlink"/>
      <w:u w:val="single"/>
    </w:rPr>
  </w:style>
  <w:style w:type="paragraph" w:styleId="956">
    <w:name w:val="footnote text"/>
    <w:basedOn w:val="973"/>
    <w:link w:val="957"/>
    <w:uiPriority w:val="99"/>
    <w:semiHidden/>
    <w:unhideWhenUsed/>
    <w:pPr>
      <w:spacing w:after="40" w:line="240" w:lineRule="auto"/>
    </w:pPr>
    <w:rPr>
      <w:sz w:val="18"/>
    </w:rPr>
  </w:style>
  <w:style w:type="character" w:styleId="957">
    <w:name w:val="Footnote Text Char"/>
    <w:link w:val="956"/>
    <w:uiPriority w:val="99"/>
    <w:rPr>
      <w:sz w:val="18"/>
    </w:rPr>
  </w:style>
  <w:style w:type="character" w:styleId="958">
    <w:name w:val="footnote reference"/>
    <w:uiPriority w:val="99"/>
    <w:unhideWhenUsed/>
    <w:rPr>
      <w:vertAlign w:val="superscript"/>
    </w:rPr>
  </w:style>
  <w:style w:type="paragraph" w:styleId="959">
    <w:name w:val="endnote text"/>
    <w:basedOn w:val="973"/>
    <w:link w:val="960"/>
    <w:uiPriority w:val="99"/>
    <w:semiHidden/>
    <w:unhideWhenUsed/>
    <w:pPr>
      <w:spacing w:after="0" w:line="240" w:lineRule="auto"/>
    </w:pPr>
    <w:rPr>
      <w:sz w:val="20"/>
    </w:rPr>
  </w:style>
  <w:style w:type="character" w:styleId="960">
    <w:name w:val="Endnote Text Char"/>
    <w:link w:val="959"/>
    <w:uiPriority w:val="99"/>
    <w:rPr>
      <w:sz w:val="20"/>
    </w:rPr>
  </w:style>
  <w:style w:type="character" w:styleId="961">
    <w:name w:val="endnote reference"/>
    <w:uiPriority w:val="99"/>
    <w:semiHidden/>
    <w:unhideWhenUsed/>
    <w:rPr>
      <w:vertAlign w:val="superscript"/>
    </w:rPr>
  </w:style>
  <w:style w:type="paragraph" w:styleId="962">
    <w:name w:val="toc 1"/>
    <w:basedOn w:val="973"/>
    <w:next w:val="973"/>
    <w:uiPriority w:val="39"/>
    <w:unhideWhenUsed/>
    <w:pPr>
      <w:ind w:left="0" w:right="0" w:firstLine="0"/>
      <w:spacing w:after="57"/>
    </w:pPr>
  </w:style>
  <w:style w:type="paragraph" w:styleId="963">
    <w:name w:val="toc 2"/>
    <w:basedOn w:val="973"/>
    <w:next w:val="973"/>
    <w:uiPriority w:val="39"/>
    <w:unhideWhenUsed/>
    <w:pPr>
      <w:ind w:left="283" w:right="0" w:firstLine="0"/>
      <w:spacing w:after="57"/>
    </w:pPr>
  </w:style>
  <w:style w:type="paragraph" w:styleId="964">
    <w:name w:val="toc 3"/>
    <w:basedOn w:val="973"/>
    <w:next w:val="973"/>
    <w:uiPriority w:val="39"/>
    <w:unhideWhenUsed/>
    <w:pPr>
      <w:ind w:left="567" w:right="0" w:firstLine="0"/>
      <w:spacing w:after="57"/>
    </w:pPr>
  </w:style>
  <w:style w:type="paragraph" w:styleId="965">
    <w:name w:val="toc 4"/>
    <w:basedOn w:val="973"/>
    <w:next w:val="973"/>
    <w:uiPriority w:val="39"/>
    <w:unhideWhenUsed/>
    <w:pPr>
      <w:ind w:left="850" w:right="0" w:firstLine="0"/>
      <w:spacing w:after="57"/>
    </w:pPr>
  </w:style>
  <w:style w:type="paragraph" w:styleId="966">
    <w:name w:val="toc 5"/>
    <w:basedOn w:val="973"/>
    <w:next w:val="973"/>
    <w:uiPriority w:val="39"/>
    <w:unhideWhenUsed/>
    <w:pPr>
      <w:ind w:left="1134" w:right="0" w:firstLine="0"/>
      <w:spacing w:after="57"/>
    </w:pPr>
  </w:style>
  <w:style w:type="paragraph" w:styleId="967">
    <w:name w:val="toc 6"/>
    <w:basedOn w:val="973"/>
    <w:next w:val="973"/>
    <w:uiPriority w:val="39"/>
    <w:unhideWhenUsed/>
    <w:pPr>
      <w:ind w:left="1417" w:right="0" w:firstLine="0"/>
      <w:spacing w:after="57"/>
    </w:pPr>
  </w:style>
  <w:style w:type="paragraph" w:styleId="968">
    <w:name w:val="toc 7"/>
    <w:basedOn w:val="973"/>
    <w:next w:val="973"/>
    <w:uiPriority w:val="39"/>
    <w:unhideWhenUsed/>
    <w:pPr>
      <w:ind w:left="1701" w:right="0" w:firstLine="0"/>
      <w:spacing w:after="57"/>
    </w:pPr>
  </w:style>
  <w:style w:type="paragraph" w:styleId="969">
    <w:name w:val="toc 8"/>
    <w:basedOn w:val="973"/>
    <w:next w:val="973"/>
    <w:uiPriority w:val="39"/>
    <w:unhideWhenUsed/>
    <w:pPr>
      <w:ind w:left="1984" w:right="0" w:firstLine="0"/>
      <w:spacing w:after="57"/>
    </w:pPr>
  </w:style>
  <w:style w:type="paragraph" w:styleId="970">
    <w:name w:val="toc 9"/>
    <w:basedOn w:val="973"/>
    <w:next w:val="973"/>
    <w:uiPriority w:val="39"/>
    <w:unhideWhenUsed/>
    <w:pPr>
      <w:ind w:left="2268" w:right="0" w:firstLine="0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973"/>
    <w:next w:val="973"/>
    <w:uiPriority w:val="99"/>
    <w:unhideWhenUsed/>
    <w:pPr>
      <w:spacing w:after="0" w:afterAutospacing="0"/>
    </w:pPr>
  </w:style>
  <w:style w:type="paragraph" w:styleId="973" w:default="1">
    <w:name w:val="Normal"/>
    <w:next w:val="973"/>
    <w:link w:val="973"/>
    <w:rPr>
      <w:bCs/>
      <w:sz w:val="28"/>
      <w:szCs w:val="28"/>
      <w:lang w:val="ru-RU" w:eastAsia="ru-RU" w:bidi="ar-SA"/>
    </w:rPr>
  </w:style>
  <w:style w:type="paragraph" w:styleId="974">
    <w:name w:val="Заголовок 1"/>
    <w:basedOn w:val="973"/>
    <w:next w:val="973"/>
    <w:link w:val="998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75">
    <w:name w:val="Основной шрифт абзаца"/>
    <w:next w:val="975"/>
    <w:link w:val="973"/>
    <w:semiHidden/>
  </w:style>
  <w:style w:type="table" w:styleId="976">
    <w:name w:val="Обычная таблица"/>
    <w:next w:val="976"/>
    <w:link w:val="973"/>
    <w:semiHidden/>
    <w:tblPr/>
  </w:style>
  <w:style w:type="numbering" w:styleId="977">
    <w:name w:val="Нет списка"/>
    <w:next w:val="977"/>
    <w:link w:val="973"/>
    <w:semiHidden/>
  </w:style>
  <w:style w:type="paragraph" w:styleId="978">
    <w:name w:val="Нижний колонтитул"/>
    <w:basedOn w:val="973"/>
    <w:next w:val="978"/>
    <w:link w:val="99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79">
    <w:name w:val="Гиперссылка"/>
    <w:next w:val="979"/>
    <w:link w:val="973"/>
    <w:rPr>
      <w:color w:val="0000ff"/>
      <w:u w:val="single"/>
    </w:rPr>
  </w:style>
  <w:style w:type="table" w:styleId="980">
    <w:name w:val="Сетка таблицы"/>
    <w:basedOn w:val="976"/>
    <w:next w:val="980"/>
    <w:link w:val="973"/>
    <w:tblPr/>
  </w:style>
  <w:style w:type="paragraph" w:styleId="981">
    <w:name w:val="Название"/>
    <w:basedOn w:val="973"/>
    <w:next w:val="981"/>
    <w:link w:val="993"/>
    <w:pPr>
      <w:jc w:val="center"/>
    </w:pPr>
    <w:rPr>
      <w:b/>
      <w:bCs w:val="0"/>
      <w:szCs w:val="20"/>
    </w:rPr>
  </w:style>
  <w:style w:type="paragraph" w:styleId="982">
    <w:name w:val="Подзаголовок"/>
    <w:basedOn w:val="973"/>
    <w:next w:val="982"/>
    <w:link w:val="994"/>
    <w:pPr>
      <w:jc w:val="center"/>
    </w:pPr>
    <w:rPr>
      <w:b/>
      <w:bCs w:val="0"/>
      <w:szCs w:val="20"/>
    </w:rPr>
  </w:style>
  <w:style w:type="character" w:styleId="983">
    <w:name w:val="Номер страницы"/>
    <w:basedOn w:val="975"/>
    <w:next w:val="983"/>
    <w:link w:val="973"/>
  </w:style>
  <w:style w:type="paragraph" w:styleId="984">
    <w:name w:val="Основной текст"/>
    <w:basedOn w:val="973"/>
    <w:next w:val="984"/>
    <w:link w:val="996"/>
    <w:pPr>
      <w:jc w:val="center"/>
    </w:pPr>
    <w:rPr>
      <w:b/>
      <w:bCs w:val="0"/>
      <w:sz w:val="24"/>
      <w:szCs w:val="20"/>
    </w:rPr>
  </w:style>
  <w:style w:type="paragraph" w:styleId="985">
    <w:name w:val="Основной текст 3"/>
    <w:basedOn w:val="973"/>
    <w:next w:val="985"/>
    <w:link w:val="973"/>
    <w:pPr>
      <w:spacing w:after="120"/>
    </w:pPr>
    <w:rPr>
      <w:sz w:val="16"/>
      <w:szCs w:val="16"/>
    </w:rPr>
  </w:style>
  <w:style w:type="paragraph" w:styleId="986">
    <w:name w:val="Цитата"/>
    <w:basedOn w:val="973"/>
    <w:next w:val="986"/>
    <w:link w:val="973"/>
    <w:pPr>
      <w:ind w:left="252" w:right="180"/>
    </w:pPr>
    <w:rPr>
      <w:bCs w:val="0"/>
      <w:sz w:val="20"/>
      <w:szCs w:val="24"/>
    </w:rPr>
  </w:style>
  <w:style w:type="paragraph" w:styleId="987">
    <w:name w:val="Верхний колонтитул"/>
    <w:basedOn w:val="973"/>
    <w:next w:val="987"/>
    <w:link w:val="997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88">
    <w:name w:val="Текст"/>
    <w:basedOn w:val="973"/>
    <w:next w:val="988"/>
    <w:link w:val="973"/>
    <w:rPr>
      <w:rFonts w:ascii="Courier New" w:hAnsi="Courier New"/>
      <w:bCs w:val="0"/>
      <w:sz w:val="20"/>
      <w:szCs w:val="20"/>
    </w:rPr>
  </w:style>
  <w:style w:type="paragraph" w:styleId="989">
    <w:name w:val="Текст сноски"/>
    <w:basedOn w:val="973"/>
    <w:next w:val="989"/>
    <w:link w:val="973"/>
    <w:semiHidden/>
    <w:pPr>
      <w:ind w:firstLine="340"/>
      <w:jc w:val="both"/>
    </w:pPr>
    <w:rPr>
      <w:bCs w:val="0"/>
      <w:sz w:val="20"/>
      <w:szCs w:val="20"/>
    </w:rPr>
  </w:style>
  <w:style w:type="character" w:styleId="990">
    <w:name w:val="Знак сноски"/>
    <w:next w:val="990"/>
    <w:link w:val="973"/>
    <w:semiHidden/>
    <w:rPr>
      <w:vertAlign w:val="superscript"/>
    </w:rPr>
  </w:style>
  <w:style w:type="paragraph" w:styleId="991">
    <w:name w:val="Основной текст с отступом"/>
    <w:basedOn w:val="973"/>
    <w:next w:val="991"/>
    <w:link w:val="973"/>
    <w:pPr>
      <w:ind w:left="283"/>
      <w:spacing w:after="120"/>
    </w:pPr>
  </w:style>
  <w:style w:type="paragraph" w:styleId="992">
    <w:name w:val="Текст выноски"/>
    <w:basedOn w:val="973"/>
    <w:next w:val="992"/>
    <w:link w:val="973"/>
    <w:semiHidden/>
    <w:rPr>
      <w:rFonts w:ascii="Tahoma" w:hAnsi="Tahoma"/>
      <w:sz w:val="16"/>
      <w:szCs w:val="16"/>
    </w:rPr>
  </w:style>
  <w:style w:type="character" w:styleId="993">
    <w:name w:val="Название Знак"/>
    <w:next w:val="993"/>
    <w:link w:val="981"/>
    <w:rPr>
      <w:b/>
      <w:sz w:val="28"/>
    </w:rPr>
  </w:style>
  <w:style w:type="character" w:styleId="994">
    <w:name w:val="Подзаголовок Знак"/>
    <w:next w:val="994"/>
    <w:link w:val="982"/>
    <w:rPr>
      <w:b/>
      <w:sz w:val="28"/>
    </w:rPr>
  </w:style>
  <w:style w:type="character" w:styleId="995">
    <w:name w:val="Нижний колонтитул Знак"/>
    <w:next w:val="995"/>
    <w:link w:val="978"/>
    <w:rPr>
      <w:sz w:val="28"/>
    </w:rPr>
  </w:style>
  <w:style w:type="character" w:styleId="996">
    <w:name w:val="Основной текст Знак"/>
    <w:next w:val="996"/>
    <w:link w:val="984"/>
    <w:rPr>
      <w:b/>
      <w:sz w:val="24"/>
    </w:rPr>
  </w:style>
  <w:style w:type="character" w:styleId="997">
    <w:name w:val="Верхний колонтитул Знак"/>
    <w:basedOn w:val="975"/>
    <w:next w:val="997"/>
    <w:link w:val="987"/>
  </w:style>
  <w:style w:type="character" w:styleId="998">
    <w:name w:val="Заголовок 1 Знак"/>
    <w:next w:val="998"/>
    <w:link w:val="974"/>
    <w:rPr>
      <w:b/>
      <w:sz w:val="28"/>
    </w:rPr>
  </w:style>
  <w:style w:type="character" w:styleId="999" w:default="1">
    <w:name w:val="Default Paragraph Font"/>
    <w:uiPriority w:val="1"/>
    <w:semiHidden/>
    <w:unhideWhenUsed/>
  </w:style>
  <w:style w:type="numbering" w:styleId="1000" w:default="1">
    <w:name w:val="No List"/>
    <w:uiPriority w:val="99"/>
    <w:semiHidden/>
    <w:unhideWhenUsed/>
  </w:style>
  <w:style w:type="table" w:styleId="10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2025-06-30T11:06:56Z</dcterms:modified>
</cp:coreProperties>
</file>