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63"/>
      </w:pPr>
      <w:r/>
      <w:r/>
    </w:p>
    <w:p>
      <w:pPr>
        <w:pStyle w:val="96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6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63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</w:p>
    <w:p>
      <w:pPr>
        <w:pStyle w:val="96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64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63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68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63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63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68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968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</w:p>
    <w:p>
      <w:pPr>
        <w:pStyle w:val="815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13 марта 2025 года</w:t>
      </w:r>
      <w:r>
        <w:tab/>
      </w:r>
      <w:r>
        <w:tab/>
        <w:t xml:space="preserve">14-00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1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/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/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16</w:t>
      </w:r>
      <w:r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8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2025 год</w:t>
      </w:r>
      <w:r>
        <w:rPr>
          <w:b/>
          <w:szCs w:val="28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968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 w:val="0"/>
          <w:bCs w:val="0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</w:t>
      </w:r>
      <w:r>
        <w:rPr>
          <w:rFonts w:eastAsia="Calibri"/>
          <w:b w:val="0"/>
          <w:bCs w:val="0"/>
          <w:lang w:eastAsia="en-US"/>
        </w:rPr>
        <w:t xml:space="preserve">, Пак А.С., Макаров Д.А., Жуков А.В.</w:t>
      </w:r>
      <w:r>
        <w:rPr>
          <w:rFonts w:eastAsia="Calibri"/>
          <w:b w:val="0"/>
          <w:bCs w:val="0"/>
        </w:rPr>
        <w:t xml:space="preserve">, Шпикельман А.М.</w:t>
      </w:r>
      <w:r>
        <w:rPr>
          <w:b w:val="0"/>
          <w:bCs w:val="0"/>
        </w:rPr>
      </w:r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Савостьянов Ю.И., Колупаев А.В., Умербаев И.Р., Тимонов Д.С., Ольховиков Е.А., Титков С.Н., Франчук Д.В.</w:t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63"/>
        <w:ind w:firstLine="709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Решетникова Льва Николаевича –</w:t>
      </w:r>
      <w:r>
        <w:t xml:space="preserve"> </w:t>
      </w:r>
      <w:r>
        <w:t xml:space="preserve">министра экономического развития Новосибирской области по вопросу «О проекте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2025 год</w:t>
      </w:r>
      <w:r>
        <w:t xml:space="preserve">».</w:t>
      </w:r>
      <w:r/>
      <w:r/>
    </w:p>
    <w:p>
      <w:pPr>
        <w:pStyle w:val="963"/>
        <w:ind w:firstLine="709"/>
        <w:jc w:val="both"/>
        <w:rPr>
          <w:highlight w:val="white"/>
        </w:rPr>
      </w:pPr>
      <w:r>
        <w:t xml:space="preserve">2. </w:t>
      </w:r>
      <w:r>
        <w:rPr>
          <w:highlight w:val="white"/>
        </w:rPr>
        <w:t xml:space="preserve">Рекомендовать Правительству Новосибирской области</w:t>
      </w:r>
      <w:r>
        <w:rPr>
          <w:highlight w:val="white"/>
        </w:rPr>
        <w:t xml:space="preserve">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снижения рисков невыполнения мероприятий плана реализации наказов избирателей депутатам Законодательного Собрания Новосибирской области седьмого созыва на 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 оперативно принимать все возможные меры </w:t>
        <w:br/>
        <w:t xml:space="preserve">по возникающим проблемным вопросам, требующим безотлагательного решения, </w:t>
        <w:br/>
        <w:t xml:space="preserve">во взаимодействии с депутатами Законодательного Собрания Новосибирской области, органами местного самоуправления в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3"/>
        <w:ind w:firstLine="708"/>
        <w:jc w:val="both"/>
        <w:shd w:val="clear" w:color="auto" w:fill="ffffff"/>
      </w:pPr>
      <w:r>
        <w:rPr>
          <w:rFonts w:eastAsia="Calibri"/>
          <w:bCs w:val="0"/>
          <w:lang w:eastAsia="en-US"/>
        </w:rPr>
        <w:t xml:space="preserve">3</w:t>
      </w:r>
      <w:r>
        <w:rPr>
          <w:rFonts w:eastAsia="Calibri"/>
          <w:bCs w:val="0"/>
          <w:lang w:eastAsia="en-US"/>
        </w:rPr>
        <w:t xml:space="preserve">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проект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2025 год</w:t>
      </w:r>
      <w:r>
        <w:t xml:space="preserve"> </w:t>
      </w:r>
      <w:r>
        <w:br/>
      </w:r>
      <w:r>
        <w:t xml:space="preserve">на </w:t>
      </w:r>
      <w:r>
        <w:t xml:space="preserve">пятьдесят шестую </w:t>
      </w:r>
      <w:r>
        <w:t xml:space="preserve">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/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Протокольная запись Титкова С.Н.:</w:t>
      </w:r>
      <w:r>
        <w:rPr>
          <w:rFonts w:ascii="Times New Roman" w:hAnsi="Times New Roman" w:eastAsia="Times New Roman"/>
          <w:b/>
          <w:bCs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Создать рабочую группу комиссии Законодательного Собрания Новосибирской области по наказам избирателей по рассмотрению вопросов связанных с реализацией наказов избирателей в 2025 году, относящихся к объектам дорожной инфраструктуры.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968"/>
        <w:ind w:firstLine="708"/>
        <w:spacing w:after="0" w:afterAutospacing="0"/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bCs/>
          <w:highlight w:val="none"/>
        </w:rPr>
      </w:r>
      <w:r/>
    </w:p>
    <w:p>
      <w:pPr>
        <w:pStyle w:val="968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Рекомендовать Законодательному Собранию Новосибирской области внести изменения в Положение о комиссии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Законодательного Собрания Новосибирской области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 наказам избирателей (прилагаются).</w:t>
      </w:r>
      <w:r>
        <w:rPr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68"/>
        <w:ind w:firstLine="708"/>
        <w:spacing w:after="0" w:afterAutospacing="0"/>
      </w:pPr>
      <w:r>
        <w:rPr>
          <w:b/>
          <w:szCs w:val="28"/>
        </w:rPr>
      </w:r>
      <w:r>
        <w:rPr>
          <w:b/>
          <w:szCs w:val="28"/>
        </w:rPr>
        <w:t xml:space="preserve">4. </w:t>
      </w:r>
      <w:r>
        <w:rPr>
          <w:b/>
          <w:szCs w:val="28"/>
        </w:rPr>
        <w:t xml:space="preserve">О согласовании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/>
      <w:r/>
    </w:p>
    <w:p>
      <w:pPr>
        <w:pStyle w:val="968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63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по наказам избирателей Законодательного Собрания Новосибирской области по вопросу </w:t>
      </w:r>
      <w:r>
        <w:rPr>
          <w:rFonts w:eastAsia="Calibri"/>
          <w:bCs w:val="0"/>
          <w:lang w:eastAsia="en-US"/>
        </w:rPr>
        <w:t xml:space="preserve">«О согласовании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</w:t>
      </w:r>
      <w:r>
        <w:rPr>
          <w:rFonts w:eastAsia="Calibri"/>
          <w:bCs w:val="0"/>
          <w:lang w:eastAsia="en-US"/>
        </w:rPr>
        <w:t xml:space="preserve"> 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63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</w:t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64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</w:p>
    <w:p>
      <w:pPr>
        <w:shd w:val="nil" w:color="auto"/>
      </w:pPr>
      <w:r>
        <w:br w:type="page" w:clear="all"/>
      </w:r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лина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Вер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</w:pPr>
      <w:r>
        <w:rPr>
          <w:sz w:val="28"/>
          <w:szCs w:val="28"/>
          <w:highlight w:val="none"/>
        </w:rPr>
        <w:t xml:space="preserve">Белоусова Елена Владимировна – начальник управления экономического анализа и прогнозирования мэрии города Новосибирска мэрии города Новосибирска; </w:t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Буян</w:t>
      </w:r>
      <w:r>
        <w:rPr>
          <w:sz w:val="28"/>
          <w:szCs w:val="28"/>
          <w:highlight w:val="white"/>
        </w:rPr>
        <w:t xml:space="preserve">ки</w:t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Юлия Алексеевна – заместитель начальника департамента </w:t>
      </w:r>
      <w:r>
        <w:rPr>
          <w:sz w:val="28"/>
          <w:szCs w:val="28"/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Бусловская Татьяна Сергеевна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начальник управления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финансово- экономического обеспечения</w:t>
      </w:r>
      <w:r>
        <w:rPr>
          <w:sz w:val="28"/>
          <w:szCs w:val="28"/>
          <w:highlight w:val="none"/>
        </w:rPr>
        <w:t xml:space="preserve"> министерства </w:t>
      </w:r>
      <w:r>
        <w:rPr>
          <w:sz w:val="28"/>
          <w:szCs w:val="28"/>
          <w:highlight w:val="none"/>
        </w:rPr>
        <w:t xml:space="preserve">жилищно-коммунального хозяйства и энергетики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Дронь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Вад</w:t>
      </w:r>
      <w:r>
        <w:rPr>
          <w:sz w:val="28"/>
          <w:szCs w:val="28"/>
          <w:highlight w:val="white"/>
        </w:rPr>
        <w:t xml:space="preserve">им Викторович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</w:rPr>
        <w:t xml:space="preserve"> член общественного Совета при Законодательном </w:t>
      </w:r>
      <w:r>
        <w:rPr>
          <w:sz w:val="28"/>
          <w:szCs w:val="28"/>
          <w:highlight w:val="white"/>
        </w:rPr>
        <w:t xml:space="preserve">Собрании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Зайков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 Дмитрий Викторович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 начальник департамента энергетики, жилищного и коммунального хозяйства мэрии города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 Новосибирска;</w:t>
      </w:r>
      <w:r>
        <w:rPr>
          <w:rFonts w:eastAsia="Calibri"/>
          <w:b w:val="0"/>
          <w:bCs w:val="0"/>
          <w:sz w:val="28"/>
          <w:szCs w:val="28"/>
          <w:highlight w:val="white"/>
        </w:rPr>
      </w:r>
      <w:r>
        <w:rPr>
          <w:rFonts w:eastAsia="Calibri"/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Карпов </w:t>
      </w:r>
      <w:r>
        <w:rPr>
          <w:sz w:val="28"/>
          <w:szCs w:val="28"/>
          <w:highlight w:val="white"/>
        </w:rPr>
        <w:t xml:space="preserve">Владимир Яковлевич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заместитель Председателя Законодательного Собрания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Колупае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в Александр Валерьевич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 заместитель министра здравоохранения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Медведев Михаил Николаевич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начальник отдела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водоснабжения и водоотведения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министерства </w:t>
      </w:r>
      <w:r>
        <w:rPr>
          <w:sz w:val="28"/>
          <w:szCs w:val="28"/>
          <w:highlight w:val="none"/>
        </w:rPr>
        <w:t xml:space="preserve">жилищно-коммунального хозяйства и энергетики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Миллер Игорь Влади</w:t>
      </w:r>
      <w:r>
        <w:rPr>
          <w:sz w:val="28"/>
          <w:szCs w:val="28"/>
          <w:highlight w:val="white"/>
        </w:rPr>
        <w:t xml:space="preserve">мирович</w:t>
      </w:r>
      <w:r>
        <w:rPr>
          <w:sz w:val="28"/>
          <w:szCs w:val="28"/>
          <w:highlight w:val="white"/>
        </w:rPr>
        <w:t xml:space="preserve"> – заместитель министра транспорта </w:t>
        <w:br/>
        <w:t xml:space="preserve">и дорожного хозяйства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Ольхо</w:t>
      </w:r>
      <w:r>
        <w:rPr>
          <w:sz w:val="28"/>
          <w:szCs w:val="28"/>
          <w:highlight w:val="white"/>
        </w:rPr>
        <w:t xml:space="preserve">виков Евгений Андреевич</w:t>
      </w:r>
      <w:r>
        <w:rPr>
          <w:sz w:val="28"/>
          <w:szCs w:val="28"/>
          <w:highlight w:val="white"/>
        </w:rPr>
        <w:t xml:space="preserve"> – заместитель министра жилищно-коммунального хозяйства и энергетики Новосибирской области;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Пронин Дмитрий Анатольевич</w:t>
      </w:r>
      <w:r>
        <w:rPr>
          <w:sz w:val="28"/>
          <w:szCs w:val="28"/>
          <w:highlight w:val="white"/>
        </w:rPr>
        <w:t xml:space="preserve"> – заместитель министра физической культуры и спорта Новосибирской области</w:t>
      </w:r>
      <w:r>
        <w:rPr>
          <w:sz w:val="28"/>
          <w:szCs w:val="28"/>
          <w:highlight w:val="white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 Лев Николаевич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министр экономического развития Новосиби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709"/>
        <w:jc w:val="both"/>
        <w:spacing w:line="240" w:lineRule="auto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Савость</w:t>
      </w: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янов Юрий Иванович</w:t>
      </w:r>
      <w:r>
        <w:rPr>
          <w:sz w:val="28"/>
          <w:szCs w:val="28"/>
          <w:highlight w:val="white"/>
        </w:rPr>
        <w:t xml:space="preserve"> – заместитель министра образования Новосибирской области;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имонов Дмитрий </w:t>
      </w:r>
      <w:r>
        <w:rPr>
          <w:sz w:val="28"/>
          <w:szCs w:val="28"/>
          <w:highlight w:val="white"/>
        </w:rPr>
        <w:t xml:space="preserve">Сергеевич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исполняющий обязанности</w:t>
      </w:r>
      <w:r>
        <w:rPr>
          <w:sz w:val="28"/>
          <w:szCs w:val="28"/>
          <w:highlight w:val="white"/>
        </w:rPr>
        <w:t xml:space="preserve"> министра строительства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Шук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ина Юлия Константиновна – министр культуры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tabs>
          <w:tab w:val="left" w:pos="1134" w:leader="none"/>
        </w:tabs>
        <w:suppressLineNumbers w:val="0"/>
      </w:pP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sz w:val="18"/>
      </w:rPr>
    </w:pPr>
    <w:r>
      <w:rPr>
        <w:sz w:val="18"/>
      </w:rPr>
    </w:r>
    <w:r>
      <w:rPr>
        <w:sz w:val="18"/>
      </w:rPr>
    </w:r>
  </w:p>
  <w:p>
    <w:pPr>
      <w:pStyle w:val="96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813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1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13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марта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5 года</w:t>
    </w:r>
    <w:r>
      <w:rPr>
        <w:rFonts w:ascii="Times New Roman" w:hAnsi="Times New Roman" w:eastAsia="Times New Roman"/>
        <w:sz w:val="28"/>
        <w:szCs w:val="28"/>
        <w:highlight w:val="none"/>
      </w:rPr>
    </w:r>
    <w:r>
      <w:rPr>
        <w:rFonts w:ascii="Times New Roman" w:hAnsi="Times New Roman" w:eastAsia="Times New Roman"/>
        <w:highlight w:val="none"/>
      </w:rPr>
    </w:r>
  </w:p>
  <w:p>
    <w:pPr>
      <w:pStyle w:val="813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>
    <w:name w:val="Heading 1"/>
    <w:basedOn w:val="963"/>
    <w:next w:val="963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6">
    <w:name w:val="Heading 1 Char"/>
    <w:link w:val="785"/>
    <w:uiPriority w:val="9"/>
    <w:rPr>
      <w:rFonts w:ascii="Arial" w:hAnsi="Arial" w:eastAsia="Arial" w:cs="Arial"/>
      <w:sz w:val="40"/>
      <w:szCs w:val="40"/>
    </w:rPr>
  </w:style>
  <w:style w:type="paragraph" w:styleId="787">
    <w:name w:val="Heading 2"/>
    <w:basedOn w:val="963"/>
    <w:next w:val="963"/>
    <w:link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8">
    <w:name w:val="Heading 2 Char"/>
    <w:link w:val="787"/>
    <w:uiPriority w:val="9"/>
    <w:rPr>
      <w:rFonts w:ascii="Arial" w:hAnsi="Arial" w:eastAsia="Arial" w:cs="Arial"/>
      <w:sz w:val="34"/>
    </w:rPr>
  </w:style>
  <w:style w:type="paragraph" w:styleId="789">
    <w:name w:val="Heading 3"/>
    <w:basedOn w:val="963"/>
    <w:next w:val="963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0">
    <w:name w:val="Heading 3 Char"/>
    <w:link w:val="789"/>
    <w:uiPriority w:val="9"/>
    <w:rPr>
      <w:rFonts w:ascii="Arial" w:hAnsi="Arial" w:eastAsia="Arial" w:cs="Arial"/>
      <w:sz w:val="30"/>
      <w:szCs w:val="30"/>
    </w:rPr>
  </w:style>
  <w:style w:type="paragraph" w:styleId="791">
    <w:name w:val="Heading 4"/>
    <w:basedOn w:val="963"/>
    <w:next w:val="963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>
    <w:name w:val="Heading 4 Char"/>
    <w:link w:val="791"/>
    <w:uiPriority w:val="9"/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963"/>
    <w:next w:val="963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>
    <w:name w:val="Heading 5 Char"/>
    <w:link w:val="793"/>
    <w:uiPriority w:val="9"/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963"/>
    <w:next w:val="963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6">
    <w:name w:val="Heading 6 Char"/>
    <w:link w:val="795"/>
    <w:uiPriority w:val="9"/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963"/>
    <w:next w:val="963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7 Char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963"/>
    <w:next w:val="963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0">
    <w:name w:val="Heading 8 Char"/>
    <w:link w:val="799"/>
    <w:uiPriority w:val="9"/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963"/>
    <w:next w:val="963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9 Char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963"/>
    <w:uiPriority w:val="34"/>
    <w:qFormat/>
    <w:pPr>
      <w:contextualSpacing/>
      <w:ind w:left="720"/>
    </w:pPr>
  </w:style>
  <w:style w:type="paragraph" w:styleId="804">
    <w:name w:val="No Spacing"/>
    <w:uiPriority w:val="1"/>
    <w:qFormat/>
    <w:pPr>
      <w:spacing w:before="0" w:after="0" w:line="240" w:lineRule="auto"/>
    </w:pPr>
  </w:style>
  <w:style w:type="paragraph" w:styleId="805">
    <w:name w:val="Title"/>
    <w:basedOn w:val="963"/>
    <w:next w:val="963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6">
    <w:name w:val="Title Char"/>
    <w:link w:val="805"/>
    <w:uiPriority w:val="10"/>
    <w:rPr>
      <w:sz w:val="48"/>
      <w:szCs w:val="48"/>
    </w:rPr>
  </w:style>
  <w:style w:type="paragraph" w:styleId="807">
    <w:name w:val="Subtitle"/>
    <w:basedOn w:val="963"/>
    <w:next w:val="963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>
    <w:name w:val="Subtitle Char"/>
    <w:link w:val="807"/>
    <w:uiPriority w:val="11"/>
    <w:rPr>
      <w:sz w:val="24"/>
      <w:szCs w:val="24"/>
    </w:rPr>
  </w:style>
  <w:style w:type="paragraph" w:styleId="809">
    <w:name w:val="Quote"/>
    <w:basedOn w:val="963"/>
    <w:next w:val="963"/>
    <w:link w:val="810"/>
    <w:uiPriority w:val="29"/>
    <w:qFormat/>
    <w:pPr>
      <w:ind w:left="720" w:right="720"/>
    </w:pPr>
    <w:rPr>
      <w:i/>
    </w:rPr>
  </w:style>
  <w:style w:type="character" w:styleId="810">
    <w:name w:val="Quote Char"/>
    <w:link w:val="809"/>
    <w:uiPriority w:val="29"/>
    <w:rPr>
      <w:i/>
    </w:rPr>
  </w:style>
  <w:style w:type="paragraph" w:styleId="811">
    <w:name w:val="Intense Quote"/>
    <w:basedOn w:val="963"/>
    <w:next w:val="963"/>
    <w:link w:val="8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>
    <w:name w:val="Intense Quote Char"/>
    <w:link w:val="811"/>
    <w:uiPriority w:val="30"/>
    <w:rPr>
      <w:i/>
    </w:rPr>
  </w:style>
  <w:style w:type="paragraph" w:styleId="813">
    <w:name w:val="Header"/>
    <w:basedOn w:val="963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>
    <w:name w:val="Header Char"/>
    <w:link w:val="813"/>
    <w:uiPriority w:val="99"/>
  </w:style>
  <w:style w:type="paragraph" w:styleId="815">
    <w:name w:val="Footer"/>
    <w:basedOn w:val="963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>
    <w:name w:val="Footer Char"/>
    <w:link w:val="815"/>
    <w:uiPriority w:val="99"/>
  </w:style>
  <w:style w:type="paragraph" w:styleId="817">
    <w:name w:val="Caption"/>
    <w:basedOn w:val="963"/>
    <w:next w:val="9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8">
    <w:name w:val="Caption Char"/>
    <w:basedOn w:val="817"/>
    <w:link w:val="815"/>
    <w:uiPriority w:val="99"/>
  </w:style>
  <w:style w:type="table" w:styleId="8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5">
    <w:name w:val="Hyperlink"/>
    <w:uiPriority w:val="99"/>
    <w:unhideWhenUsed/>
    <w:rPr>
      <w:color w:val="0000ff" w:themeColor="hyperlink"/>
      <w:u w:val="single"/>
    </w:rPr>
  </w:style>
  <w:style w:type="paragraph" w:styleId="946">
    <w:name w:val="footnote text"/>
    <w:basedOn w:val="963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>
    <w:name w:val="Footnote Text Char"/>
    <w:link w:val="946"/>
    <w:uiPriority w:val="99"/>
    <w:rPr>
      <w:sz w:val="18"/>
    </w:rPr>
  </w:style>
  <w:style w:type="character" w:styleId="948">
    <w:name w:val="footnote reference"/>
    <w:uiPriority w:val="99"/>
    <w:unhideWhenUsed/>
    <w:rPr>
      <w:vertAlign w:val="superscript"/>
    </w:rPr>
  </w:style>
  <w:style w:type="paragraph" w:styleId="949">
    <w:name w:val="endnote text"/>
    <w:basedOn w:val="963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>
    <w:name w:val="Endnote Text Char"/>
    <w:link w:val="949"/>
    <w:uiPriority w:val="99"/>
    <w:rPr>
      <w:sz w:val="20"/>
    </w:rPr>
  </w:style>
  <w:style w:type="character" w:styleId="951">
    <w:name w:val="endnote reference"/>
    <w:uiPriority w:val="99"/>
    <w:semiHidden/>
    <w:unhideWhenUsed/>
    <w:rPr>
      <w:vertAlign w:val="superscript"/>
    </w:rPr>
  </w:style>
  <w:style w:type="paragraph" w:styleId="952">
    <w:name w:val="toc 1"/>
    <w:basedOn w:val="963"/>
    <w:next w:val="963"/>
    <w:uiPriority w:val="39"/>
    <w:unhideWhenUsed/>
    <w:pPr>
      <w:ind w:left="0" w:right="0" w:firstLine="0"/>
      <w:spacing w:after="57"/>
    </w:pPr>
  </w:style>
  <w:style w:type="paragraph" w:styleId="953">
    <w:name w:val="toc 2"/>
    <w:basedOn w:val="963"/>
    <w:next w:val="963"/>
    <w:uiPriority w:val="39"/>
    <w:unhideWhenUsed/>
    <w:pPr>
      <w:ind w:left="283" w:right="0" w:firstLine="0"/>
      <w:spacing w:after="57"/>
    </w:pPr>
  </w:style>
  <w:style w:type="paragraph" w:styleId="954">
    <w:name w:val="toc 3"/>
    <w:basedOn w:val="963"/>
    <w:next w:val="963"/>
    <w:uiPriority w:val="39"/>
    <w:unhideWhenUsed/>
    <w:pPr>
      <w:ind w:left="567" w:right="0" w:firstLine="0"/>
      <w:spacing w:after="57"/>
    </w:pPr>
  </w:style>
  <w:style w:type="paragraph" w:styleId="955">
    <w:name w:val="toc 4"/>
    <w:basedOn w:val="963"/>
    <w:next w:val="963"/>
    <w:uiPriority w:val="39"/>
    <w:unhideWhenUsed/>
    <w:pPr>
      <w:ind w:left="850" w:right="0" w:firstLine="0"/>
      <w:spacing w:after="57"/>
    </w:pPr>
  </w:style>
  <w:style w:type="paragraph" w:styleId="956">
    <w:name w:val="toc 5"/>
    <w:basedOn w:val="963"/>
    <w:next w:val="963"/>
    <w:uiPriority w:val="39"/>
    <w:unhideWhenUsed/>
    <w:pPr>
      <w:ind w:left="1134" w:right="0" w:firstLine="0"/>
      <w:spacing w:after="57"/>
    </w:pPr>
  </w:style>
  <w:style w:type="paragraph" w:styleId="957">
    <w:name w:val="toc 6"/>
    <w:basedOn w:val="963"/>
    <w:next w:val="963"/>
    <w:uiPriority w:val="39"/>
    <w:unhideWhenUsed/>
    <w:pPr>
      <w:ind w:left="1417" w:right="0" w:firstLine="0"/>
      <w:spacing w:after="57"/>
    </w:pPr>
  </w:style>
  <w:style w:type="paragraph" w:styleId="958">
    <w:name w:val="toc 7"/>
    <w:basedOn w:val="963"/>
    <w:next w:val="963"/>
    <w:uiPriority w:val="39"/>
    <w:unhideWhenUsed/>
    <w:pPr>
      <w:ind w:left="1701" w:right="0" w:firstLine="0"/>
      <w:spacing w:after="57"/>
    </w:pPr>
  </w:style>
  <w:style w:type="paragraph" w:styleId="959">
    <w:name w:val="toc 8"/>
    <w:basedOn w:val="963"/>
    <w:next w:val="963"/>
    <w:uiPriority w:val="39"/>
    <w:unhideWhenUsed/>
    <w:pPr>
      <w:ind w:left="1984" w:right="0" w:firstLine="0"/>
      <w:spacing w:after="57"/>
    </w:pPr>
  </w:style>
  <w:style w:type="paragraph" w:styleId="960">
    <w:name w:val="toc 9"/>
    <w:basedOn w:val="963"/>
    <w:next w:val="963"/>
    <w:uiPriority w:val="39"/>
    <w:unhideWhenUsed/>
    <w:pPr>
      <w:ind w:left="2268" w:right="0" w:firstLine="0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963"/>
    <w:next w:val="963"/>
    <w:uiPriority w:val="99"/>
    <w:unhideWhenUsed/>
    <w:pPr>
      <w:spacing w:after="0" w:afterAutospacing="0"/>
    </w:pPr>
  </w:style>
  <w:style w:type="paragraph" w:styleId="963" w:default="1">
    <w:name w:val="Normal"/>
    <w:next w:val="963"/>
    <w:link w:val="963"/>
    <w:rPr>
      <w:bCs/>
      <w:sz w:val="28"/>
      <w:szCs w:val="28"/>
      <w:lang w:val="ru-RU" w:eastAsia="ru-RU" w:bidi="ar-SA"/>
    </w:rPr>
  </w:style>
  <w:style w:type="paragraph" w:styleId="964">
    <w:name w:val="Заголовок 1"/>
    <w:basedOn w:val="963"/>
    <w:next w:val="963"/>
    <w:link w:val="988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65">
    <w:name w:val="Основной шрифт абзаца"/>
    <w:next w:val="965"/>
    <w:link w:val="963"/>
    <w:semiHidden/>
  </w:style>
  <w:style w:type="table" w:styleId="966">
    <w:name w:val="Обычная таблица"/>
    <w:next w:val="966"/>
    <w:link w:val="963"/>
    <w:semiHidden/>
    <w:tblPr/>
  </w:style>
  <w:style w:type="numbering" w:styleId="967">
    <w:name w:val="Нет списка"/>
    <w:next w:val="967"/>
    <w:link w:val="963"/>
    <w:semiHidden/>
  </w:style>
  <w:style w:type="paragraph" w:styleId="968">
    <w:name w:val="Нижний колонтитул"/>
    <w:basedOn w:val="963"/>
    <w:next w:val="968"/>
    <w:link w:val="98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69">
    <w:name w:val="Гиперссылка"/>
    <w:next w:val="969"/>
    <w:link w:val="963"/>
    <w:rPr>
      <w:color w:val="0000ff"/>
      <w:u w:val="single"/>
    </w:rPr>
  </w:style>
  <w:style w:type="table" w:styleId="970">
    <w:name w:val="Сетка таблицы"/>
    <w:basedOn w:val="966"/>
    <w:next w:val="970"/>
    <w:link w:val="963"/>
    <w:tblPr/>
  </w:style>
  <w:style w:type="paragraph" w:styleId="971">
    <w:name w:val="Название"/>
    <w:basedOn w:val="963"/>
    <w:next w:val="971"/>
    <w:link w:val="983"/>
    <w:pPr>
      <w:jc w:val="center"/>
    </w:pPr>
    <w:rPr>
      <w:b/>
      <w:bCs w:val="0"/>
      <w:szCs w:val="20"/>
    </w:rPr>
  </w:style>
  <w:style w:type="paragraph" w:styleId="972">
    <w:name w:val="Подзаголовок"/>
    <w:basedOn w:val="963"/>
    <w:next w:val="972"/>
    <w:link w:val="984"/>
    <w:pPr>
      <w:jc w:val="center"/>
    </w:pPr>
    <w:rPr>
      <w:b/>
      <w:bCs w:val="0"/>
      <w:szCs w:val="20"/>
    </w:rPr>
  </w:style>
  <w:style w:type="character" w:styleId="973">
    <w:name w:val="Номер страницы"/>
    <w:basedOn w:val="965"/>
    <w:next w:val="973"/>
    <w:link w:val="963"/>
  </w:style>
  <w:style w:type="paragraph" w:styleId="974">
    <w:name w:val="Основной текст"/>
    <w:basedOn w:val="963"/>
    <w:next w:val="974"/>
    <w:link w:val="986"/>
    <w:pPr>
      <w:jc w:val="center"/>
    </w:pPr>
    <w:rPr>
      <w:b/>
      <w:bCs w:val="0"/>
      <w:sz w:val="24"/>
      <w:szCs w:val="20"/>
    </w:rPr>
  </w:style>
  <w:style w:type="paragraph" w:styleId="975">
    <w:name w:val="Основной текст 3"/>
    <w:basedOn w:val="963"/>
    <w:next w:val="975"/>
    <w:link w:val="963"/>
    <w:pPr>
      <w:spacing w:after="120"/>
    </w:pPr>
    <w:rPr>
      <w:sz w:val="16"/>
      <w:szCs w:val="16"/>
    </w:rPr>
  </w:style>
  <w:style w:type="paragraph" w:styleId="976">
    <w:name w:val="Цитата"/>
    <w:basedOn w:val="963"/>
    <w:next w:val="976"/>
    <w:link w:val="963"/>
    <w:pPr>
      <w:ind w:left="252" w:right="180"/>
    </w:pPr>
    <w:rPr>
      <w:bCs w:val="0"/>
      <w:sz w:val="20"/>
      <w:szCs w:val="24"/>
    </w:rPr>
  </w:style>
  <w:style w:type="paragraph" w:styleId="977">
    <w:name w:val="Верхний колонтитул"/>
    <w:basedOn w:val="963"/>
    <w:next w:val="977"/>
    <w:link w:val="987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78">
    <w:name w:val="Текст"/>
    <w:basedOn w:val="963"/>
    <w:next w:val="978"/>
    <w:link w:val="963"/>
    <w:rPr>
      <w:rFonts w:ascii="Courier New" w:hAnsi="Courier New"/>
      <w:bCs w:val="0"/>
      <w:sz w:val="20"/>
      <w:szCs w:val="20"/>
    </w:rPr>
  </w:style>
  <w:style w:type="paragraph" w:styleId="979">
    <w:name w:val="Текст сноски"/>
    <w:basedOn w:val="963"/>
    <w:next w:val="979"/>
    <w:link w:val="963"/>
    <w:semiHidden/>
    <w:pPr>
      <w:ind w:firstLine="340"/>
      <w:jc w:val="both"/>
    </w:pPr>
    <w:rPr>
      <w:bCs w:val="0"/>
      <w:sz w:val="20"/>
      <w:szCs w:val="20"/>
    </w:rPr>
  </w:style>
  <w:style w:type="character" w:styleId="980">
    <w:name w:val="Знак сноски"/>
    <w:next w:val="980"/>
    <w:link w:val="963"/>
    <w:semiHidden/>
    <w:rPr>
      <w:vertAlign w:val="superscript"/>
    </w:rPr>
  </w:style>
  <w:style w:type="paragraph" w:styleId="981">
    <w:name w:val="Основной текст с отступом"/>
    <w:basedOn w:val="963"/>
    <w:next w:val="981"/>
    <w:link w:val="963"/>
    <w:pPr>
      <w:ind w:left="283"/>
      <w:spacing w:after="120"/>
    </w:pPr>
  </w:style>
  <w:style w:type="paragraph" w:styleId="982">
    <w:name w:val="Текст выноски"/>
    <w:basedOn w:val="963"/>
    <w:next w:val="982"/>
    <w:link w:val="963"/>
    <w:semiHidden/>
    <w:rPr>
      <w:rFonts w:ascii="Tahoma" w:hAnsi="Tahoma"/>
      <w:sz w:val="16"/>
      <w:szCs w:val="16"/>
    </w:rPr>
  </w:style>
  <w:style w:type="character" w:styleId="983">
    <w:name w:val="Название Знак"/>
    <w:next w:val="983"/>
    <w:link w:val="971"/>
    <w:rPr>
      <w:b/>
      <w:sz w:val="28"/>
    </w:rPr>
  </w:style>
  <w:style w:type="character" w:styleId="984">
    <w:name w:val="Подзаголовок Знак"/>
    <w:next w:val="984"/>
    <w:link w:val="972"/>
    <w:rPr>
      <w:b/>
      <w:sz w:val="28"/>
    </w:rPr>
  </w:style>
  <w:style w:type="character" w:styleId="985">
    <w:name w:val="Нижний колонтитул Знак"/>
    <w:next w:val="985"/>
    <w:link w:val="968"/>
    <w:rPr>
      <w:sz w:val="28"/>
    </w:rPr>
  </w:style>
  <w:style w:type="character" w:styleId="986">
    <w:name w:val="Основной текст Знак"/>
    <w:next w:val="986"/>
    <w:link w:val="974"/>
    <w:rPr>
      <w:b/>
      <w:sz w:val="24"/>
    </w:rPr>
  </w:style>
  <w:style w:type="character" w:styleId="987">
    <w:name w:val="Верхний колонтитул Знак"/>
    <w:basedOn w:val="965"/>
    <w:next w:val="987"/>
    <w:link w:val="977"/>
  </w:style>
  <w:style w:type="character" w:styleId="988">
    <w:name w:val="Заголовок 1 Знак"/>
    <w:next w:val="988"/>
    <w:link w:val="964"/>
    <w:rPr>
      <w:b/>
      <w:sz w:val="28"/>
    </w:rPr>
  </w:style>
  <w:style w:type="character" w:styleId="989" w:default="1">
    <w:name w:val="Default Paragraph Font"/>
    <w:uiPriority w:val="1"/>
    <w:semiHidden/>
    <w:unhideWhenUsed/>
  </w:style>
  <w:style w:type="numbering" w:styleId="990" w:default="1">
    <w:name w:val="No List"/>
    <w:uiPriority w:val="99"/>
    <w:semiHidden/>
    <w:unhideWhenUsed/>
  </w:style>
  <w:style w:type="table" w:styleId="9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2025-03-20T04:14:05Z</dcterms:modified>
</cp:coreProperties>
</file>