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48"/>
      </w:pPr>
      <w:r/>
      <w:r/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4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48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0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4 сентября 2025 года</w:t>
      </w:r>
      <w:r>
        <w:tab/>
      </w:r>
      <w:r>
        <w:tab/>
        <w:t xml:space="preserve">10-00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каб. 619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5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Заместители председателя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/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 11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  <w:t xml:space="preserve">2. 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4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наказам избирателей </w:t>
      </w:r>
      <w:r>
        <w:rPr>
          <w:rFonts w:eastAsia="Calibri"/>
          <w:bCs w:val="0"/>
          <w:lang w:eastAsia="en-US"/>
        </w:rPr>
        <w:t xml:space="preserve">по вопросу </w:t>
      </w:r>
      <w:r>
        <w:rPr>
          <w:rFonts w:eastAsia="Calibri"/>
          <w:bCs w:val="0"/>
          <w:lang w:eastAsia="en-US"/>
        </w:rPr>
        <w:t xml:space="preserve">«О согласовании уточненного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</w:t>
      </w:r>
      <w:r>
        <w:rPr>
          <w:rFonts w:eastAsia="Calibri"/>
          <w:bCs w:val="0"/>
          <w:lang w:eastAsia="en-US"/>
        </w:rPr>
        <w:br/>
        <w:t xml:space="preserve">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уточненный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 избирателей депутатам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11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49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pPr>
        <w:shd w:val="nil" w:color="auto"/>
      </w:pP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1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link w:val="800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next w:val="948"/>
    <w:link w:val="948"/>
    <w:rPr>
      <w:bCs/>
      <w:sz w:val="28"/>
      <w:szCs w:val="28"/>
      <w:lang w:val="ru-RU" w:eastAsia="ru-RU" w:bidi="ar-SA"/>
    </w:rPr>
  </w:style>
  <w:style w:type="paragraph" w:styleId="949">
    <w:name w:val="Заголовок 1"/>
    <w:basedOn w:val="948"/>
    <w:next w:val="948"/>
    <w:link w:val="97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0">
    <w:name w:val="Основной шрифт абзаца"/>
    <w:next w:val="950"/>
    <w:link w:val="948"/>
    <w:semiHidden/>
  </w:style>
  <w:style w:type="table" w:styleId="951">
    <w:name w:val="Обычная таблица"/>
    <w:next w:val="951"/>
    <w:link w:val="948"/>
    <w:semiHidden/>
    <w:tblPr/>
  </w:style>
  <w:style w:type="numbering" w:styleId="952">
    <w:name w:val="Нет списка"/>
    <w:next w:val="952"/>
    <w:link w:val="948"/>
    <w:semiHidden/>
  </w:style>
  <w:style w:type="paragraph" w:styleId="953">
    <w:name w:val="Нижний колонтитул"/>
    <w:basedOn w:val="948"/>
    <w:next w:val="953"/>
    <w:link w:val="97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4">
    <w:name w:val="Гиперссылка"/>
    <w:next w:val="954"/>
    <w:link w:val="948"/>
    <w:rPr>
      <w:color w:val="0000ff"/>
      <w:u w:val="single"/>
    </w:rPr>
  </w:style>
  <w:style w:type="table" w:styleId="955">
    <w:name w:val="Сетка таблицы"/>
    <w:basedOn w:val="951"/>
    <w:next w:val="955"/>
    <w:link w:val="948"/>
    <w:tblPr/>
  </w:style>
  <w:style w:type="paragraph" w:styleId="956">
    <w:name w:val="Название"/>
    <w:basedOn w:val="948"/>
    <w:next w:val="956"/>
    <w:link w:val="968"/>
    <w:pPr>
      <w:jc w:val="center"/>
    </w:pPr>
    <w:rPr>
      <w:b/>
      <w:bCs w:val="0"/>
      <w:szCs w:val="20"/>
    </w:rPr>
  </w:style>
  <w:style w:type="paragraph" w:styleId="957">
    <w:name w:val="Подзаголовок"/>
    <w:basedOn w:val="948"/>
    <w:next w:val="957"/>
    <w:link w:val="969"/>
    <w:pPr>
      <w:jc w:val="center"/>
    </w:pPr>
    <w:rPr>
      <w:b/>
      <w:bCs w:val="0"/>
      <w:szCs w:val="20"/>
    </w:rPr>
  </w:style>
  <w:style w:type="character" w:styleId="958">
    <w:name w:val="Номер страницы"/>
    <w:basedOn w:val="950"/>
    <w:next w:val="958"/>
    <w:link w:val="948"/>
  </w:style>
  <w:style w:type="paragraph" w:styleId="959">
    <w:name w:val="Основной текст"/>
    <w:basedOn w:val="948"/>
    <w:next w:val="959"/>
    <w:link w:val="971"/>
    <w:pPr>
      <w:jc w:val="center"/>
    </w:pPr>
    <w:rPr>
      <w:b/>
      <w:bCs w:val="0"/>
      <w:sz w:val="24"/>
      <w:szCs w:val="20"/>
    </w:rPr>
  </w:style>
  <w:style w:type="paragraph" w:styleId="960">
    <w:name w:val="Основной текст 3"/>
    <w:basedOn w:val="948"/>
    <w:next w:val="960"/>
    <w:link w:val="948"/>
    <w:pPr>
      <w:spacing w:after="120"/>
    </w:pPr>
    <w:rPr>
      <w:sz w:val="16"/>
      <w:szCs w:val="16"/>
    </w:rPr>
  </w:style>
  <w:style w:type="paragraph" w:styleId="961">
    <w:name w:val="Цитата"/>
    <w:basedOn w:val="948"/>
    <w:next w:val="961"/>
    <w:link w:val="948"/>
    <w:pPr>
      <w:ind w:left="252" w:right="180"/>
    </w:pPr>
    <w:rPr>
      <w:bCs w:val="0"/>
      <w:sz w:val="20"/>
      <w:szCs w:val="24"/>
    </w:rPr>
  </w:style>
  <w:style w:type="paragraph" w:styleId="962">
    <w:name w:val="Верхний колонтитул"/>
    <w:basedOn w:val="948"/>
    <w:next w:val="962"/>
    <w:link w:val="97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3">
    <w:name w:val="Текст"/>
    <w:basedOn w:val="948"/>
    <w:next w:val="963"/>
    <w:link w:val="948"/>
    <w:rPr>
      <w:rFonts w:ascii="Courier New" w:hAnsi="Courier New"/>
      <w:bCs w:val="0"/>
      <w:sz w:val="20"/>
      <w:szCs w:val="20"/>
    </w:rPr>
  </w:style>
  <w:style w:type="paragraph" w:styleId="964">
    <w:name w:val="Текст сноски"/>
    <w:basedOn w:val="948"/>
    <w:next w:val="964"/>
    <w:link w:val="948"/>
    <w:semiHidden/>
    <w:pPr>
      <w:ind w:firstLine="340"/>
      <w:jc w:val="both"/>
    </w:pPr>
    <w:rPr>
      <w:bCs w:val="0"/>
      <w:sz w:val="20"/>
      <w:szCs w:val="20"/>
    </w:rPr>
  </w:style>
  <w:style w:type="character" w:styleId="965">
    <w:name w:val="Знак сноски"/>
    <w:next w:val="965"/>
    <w:link w:val="948"/>
    <w:semiHidden/>
    <w:rPr>
      <w:vertAlign w:val="superscript"/>
    </w:rPr>
  </w:style>
  <w:style w:type="paragraph" w:styleId="966">
    <w:name w:val="Основной текст с отступом"/>
    <w:basedOn w:val="948"/>
    <w:next w:val="966"/>
    <w:link w:val="948"/>
    <w:pPr>
      <w:ind w:left="283"/>
      <w:spacing w:after="120"/>
    </w:pPr>
  </w:style>
  <w:style w:type="paragraph" w:styleId="967">
    <w:name w:val="Текст выноски"/>
    <w:basedOn w:val="948"/>
    <w:next w:val="967"/>
    <w:link w:val="948"/>
    <w:semiHidden/>
    <w:rPr>
      <w:rFonts w:ascii="Tahoma" w:hAnsi="Tahoma"/>
      <w:sz w:val="16"/>
      <w:szCs w:val="16"/>
    </w:rPr>
  </w:style>
  <w:style w:type="character" w:styleId="968">
    <w:name w:val="Название Знак"/>
    <w:next w:val="968"/>
    <w:link w:val="956"/>
    <w:rPr>
      <w:b/>
      <w:sz w:val="28"/>
    </w:rPr>
  </w:style>
  <w:style w:type="character" w:styleId="969">
    <w:name w:val="Подзаголовок Знак"/>
    <w:next w:val="969"/>
    <w:link w:val="957"/>
    <w:rPr>
      <w:b/>
      <w:sz w:val="28"/>
    </w:rPr>
  </w:style>
  <w:style w:type="character" w:styleId="970">
    <w:name w:val="Нижний колонтитул Знак"/>
    <w:next w:val="970"/>
    <w:link w:val="953"/>
    <w:rPr>
      <w:sz w:val="28"/>
    </w:rPr>
  </w:style>
  <w:style w:type="character" w:styleId="971">
    <w:name w:val="Основной текст Знак"/>
    <w:next w:val="971"/>
    <w:link w:val="959"/>
    <w:rPr>
      <w:b/>
      <w:sz w:val="24"/>
    </w:rPr>
  </w:style>
  <w:style w:type="character" w:styleId="972">
    <w:name w:val="Верхний колонтитул Знак"/>
    <w:basedOn w:val="950"/>
    <w:next w:val="972"/>
    <w:link w:val="962"/>
  </w:style>
  <w:style w:type="character" w:styleId="973">
    <w:name w:val="Заголовок 1 Знак"/>
    <w:next w:val="973"/>
    <w:link w:val="949"/>
    <w:rPr>
      <w:b/>
      <w:sz w:val="28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2025-09-04T03:35:46Z</dcterms:modified>
</cp:coreProperties>
</file>