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tabs>
          <w:tab w:val="left" w:pos="9071" w:leader="none"/>
        </w:tabs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/>
    </w:p>
    <w:p>
      <w:pPr>
        <w:pStyle w:val="877"/>
      </w:pPr>
      <w:r/>
      <w:r/>
    </w:p>
    <w:p>
      <w:pPr>
        <w:pStyle w:val="877"/>
        <w:ind w:firstLine="0"/>
        <w:jc w:val="left"/>
        <w:rPr>
          <w:b/>
        </w:rPr>
      </w:pPr>
      <w:r>
        <w:rPr>
          <w:b/>
        </w:rPr>
      </w:r>
      <w:r/>
    </w:p>
    <w:p>
      <w:pPr>
        <w:pStyle w:val="877"/>
        <w:jc w:val="center"/>
        <w:rPr>
          <w:b/>
        </w:rPr>
      </w:pPr>
      <w:r>
        <w:rPr>
          <w:b/>
        </w:rPr>
      </w:r>
      <w:r/>
    </w:p>
    <w:p>
      <w:pPr>
        <w:pStyle w:val="877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77"/>
        <w:jc w:val="center"/>
        <w:rPr>
          <w:b/>
        </w:rPr>
      </w:pPr>
      <w:r>
        <w:rPr>
          <w:b/>
        </w:rPr>
      </w:r>
      <w:r/>
    </w:p>
    <w:p>
      <w:pPr>
        <w:pStyle w:val="878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877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882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82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82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882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882"/>
        <w:ind w:firstLine="0"/>
        <w:tabs>
          <w:tab w:val="clear" w:pos="4536" w:leader="none"/>
          <w:tab w:val="left" w:pos="8393" w:leader="none"/>
          <w:tab w:val="clear" w:pos="9072" w:leader="none"/>
        </w:tabs>
        <w:rPr>
          <w:rFonts w:eastAsia="Calibri"/>
          <w:b w:val="0"/>
          <w:highlight w:val="none"/>
          <w:u w:val="none"/>
          <w:lang w:eastAsia="en-US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82"/>
        <w:ind w:firstLine="0"/>
        <w:tabs>
          <w:tab w:val="clear" w:pos="4536" w:leader="none"/>
          <w:tab w:val="left" w:pos="8393" w:leader="none"/>
          <w:tab w:val="clear" w:pos="9072" w:leader="none"/>
        </w:tabs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rPr>
          <w:rFonts w:eastAsia="Calibri"/>
          <w:b w:val="0"/>
          <w:bCs w:val="0"/>
          <w:highlight w:val="none"/>
          <w:u w:val="none"/>
          <w:lang w:eastAsia="en-US"/>
        </w:rPr>
      </w:r>
      <w:r/>
    </w:p>
    <w:tbl>
      <w:tblPr>
        <w:tblStyle w:val="73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b w:val="0"/>
                <w:highlight w:val="none"/>
              </w:rPr>
            </w:pPr>
            <w:r>
              <w:rPr>
                <w:rFonts w:eastAsia="Calibri"/>
                <w:b w:val="0"/>
                <w:highlight w:val="none"/>
                <w:lang w:eastAsia="en-US"/>
              </w:rPr>
              <w:t xml:space="preserve">18 января 2023 года</w:t>
            </w:r>
            <w:r>
              <w:rPr>
                <w:rFonts w:eastAsia="Calibri"/>
                <w:b w:val="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b w:val="0"/>
                <w:highlight w:val="none"/>
              </w:rPr>
            </w:pPr>
            <w:r>
              <w:rPr>
                <w:rFonts w:eastAsia="Calibri"/>
                <w:b w:val="0"/>
                <w:highlight w:val="none"/>
                <w:lang w:eastAsia="en-US"/>
              </w:rPr>
              <w:t xml:space="preserve">дистанционная форма</w:t>
            </w:r>
            <w:r>
              <w:rPr>
                <w:rFonts w:eastAsia="Calibri"/>
                <w:b w:val="0"/>
                <w:highlight w:val="none"/>
                <w:lang w:eastAsia="en-US"/>
              </w:rPr>
            </w:r>
            <w:r/>
          </w:p>
        </w:tc>
      </w:tr>
    </w:tbl>
    <w:p>
      <w:pPr>
        <w:jc w:val="center"/>
        <w:rPr>
          <w:rFonts w:eastAsia="Calibri"/>
          <w:b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  <w:r/>
    </w:p>
    <w:p>
      <w:pPr>
        <w:pStyle w:val="877"/>
        <w:jc w:val="center"/>
        <w:rPr>
          <w:rFonts w:eastAsia="Calibri"/>
          <w:b/>
          <w:bCs w:val="0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</w:t>
      </w:r>
      <w:r>
        <w:rPr>
          <w:rFonts w:eastAsia="Calibri"/>
          <w:b/>
          <w:bCs w:val="0"/>
          <w:lang w:eastAsia="en-US"/>
        </w:rPr>
        <w:t xml:space="preserve">РОТОКОЛ №</w:t>
      </w:r>
      <w:r>
        <w:rPr>
          <w:rFonts w:eastAsia="Calibri"/>
          <w:b/>
          <w:bCs w:val="0"/>
          <w:lang w:eastAsia="en-US"/>
        </w:rPr>
        <w:t xml:space="preserve"> </w:t>
      </w:r>
      <w:r>
        <w:rPr>
          <w:rFonts w:eastAsia="Calibri"/>
          <w:b/>
          <w:bCs w:val="0"/>
          <w:lang w:eastAsia="en-US"/>
        </w:rPr>
        <w:t xml:space="preserve">1</w:t>
      </w:r>
      <w:r/>
    </w:p>
    <w:p>
      <w:pPr>
        <w:pStyle w:val="877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  <w:t xml:space="preserve"> </w:t>
      </w:r>
      <w:r>
        <w:rPr>
          <w:rFonts w:eastAsia="Calibri"/>
          <w:b/>
          <w:bCs w:val="0"/>
          <w:lang w:eastAsia="en-US"/>
        </w:rPr>
      </w:r>
      <w:r/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b/>
        </w:rPr>
        <w:tab/>
      </w:r>
      <w:r>
        <w:rPr>
          <w:rFonts w:eastAsia="Calibri"/>
          <w:b/>
          <w:bCs w:val="0"/>
          <w:lang w:eastAsia="en-US"/>
        </w:rPr>
      </w:r>
      <w:r/>
    </w:p>
    <w:p>
      <w:pPr>
        <w:pStyle w:val="882"/>
        <w:rPr>
          <w:lang w:val="ru-RU"/>
        </w:rPr>
      </w:pPr>
      <w:r>
        <w:rPr>
          <w:lang w:val="ru-RU"/>
        </w:rPr>
        <w:t xml:space="preserve">Присутствовали: </w:t>
      </w:r>
      <w:r>
        <w:rPr>
          <w:lang w:val="ru-RU"/>
        </w:rPr>
      </w:r>
      <w:r/>
    </w:p>
    <w:p>
      <w:pPr>
        <w:pStyle w:val="88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2"/>
        <w:gridCol w:w="4786"/>
      </w:tblGrid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left="0" w:right="284" w:firstLine="709"/>
            </w:pPr>
            <w:r>
              <w:rPr>
                <w:bCs/>
                <w:sz w:val="28"/>
                <w:szCs w:val="28"/>
              </w:rPr>
              <w:t xml:space="preserve">Председатель комиссии: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  <w:rPr>
                <w:highlight w:val="none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u w:val="none"/>
              </w:rPr>
              <w:t xml:space="preserve">Козловский Дмитрий Анатольевич</w:t>
            </w:r>
            <w:r>
              <w:rPr>
                <w:u w:val="none"/>
              </w:rPr>
            </w:r>
            <w:r/>
          </w:p>
          <w:p>
            <w:pPr>
              <w:ind w:right="284"/>
              <w:rPr>
                <w:u w:val="none"/>
              </w:rPr>
            </w:pP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  <w:r/>
          </w:p>
        </w:tc>
      </w:tr>
      <w:tr>
        <w:trPr>
          <w:trHeight w:val="299"/>
        </w:trPr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left="0" w:right="-250" w:firstLine="709"/>
            </w:pPr>
            <w:r>
              <w:rPr>
                <w:bCs/>
                <w:sz w:val="28"/>
                <w:szCs w:val="28"/>
              </w:rPr>
              <w:t xml:space="preserve">Заместители председателя комиссии: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bottom"/>
            <w:textDirection w:val="lrTb"/>
            <w:noWrap w:val="false"/>
          </w:tcPr>
          <w:p>
            <w:pPr>
              <w:pStyle w:val="877"/>
              <w:ind w:right="284"/>
              <w:rPr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u w:val="none"/>
              </w:rPr>
              <w:t xml:space="preserve">Бадьин Валерий Георгиевич</w:t>
            </w:r>
            <w:r>
              <w:rPr>
                <w:u w:val="none"/>
              </w:rPr>
            </w:r>
            <w:r/>
          </w:p>
        </w:tc>
      </w:tr>
      <w:tr>
        <w:trPr>
          <w:trHeight w:val="299"/>
        </w:trPr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right="284" w:firstLine="284"/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</w:pPr>
            <w:r>
              <w:rPr>
                <w:sz w:val="28"/>
                <w:szCs w:val="28"/>
                <w:u w:val="none"/>
              </w:rPr>
            </w:r>
            <w:r>
              <w:rPr>
                <w:u w:val="none"/>
              </w:rPr>
              <w:t xml:space="preserve">Машкарин Николай Владимирович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right="284" w:firstLine="284"/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u w:val="none"/>
              </w:rPr>
              <w:t xml:space="preserve">Пак Андрей Станиславович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left="0"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  <w:t xml:space="preserve">Члены комиссии:</w:t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bCs/>
                <w:sz w:val="28"/>
                <w:szCs w:val="28"/>
                <w:u w:val="none"/>
              </w:rPr>
              <w:t xml:space="preserve">Жуков Анатолий Васильевич</w:t>
            </w:r>
            <w:r>
              <w:rPr>
                <w:bCs/>
                <w:sz w:val="28"/>
                <w:szCs w:val="28"/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/>
            </w:pPr>
            <w:r>
              <w:rPr>
                <w:bCs/>
                <w:sz w:val="28"/>
                <w:szCs w:val="28"/>
                <w:u w:val="none"/>
              </w:rPr>
              <w:t xml:space="preserve">Кушнир Виктор Васильевич</w:t>
            </w:r>
            <w:r>
              <w:rPr>
                <w:bCs/>
                <w:sz w:val="28"/>
                <w:szCs w:val="28"/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Макаров Дмитрий Александрович</w:t>
            </w:r>
            <w:r>
              <w:rPr>
                <w:sz w:val="28"/>
                <w:szCs w:val="28"/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Новоселов Виталий Валерьевич</w:t>
            </w:r>
            <w:r>
              <w:rPr>
                <w:sz w:val="28"/>
                <w:szCs w:val="28"/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  <w:rPr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Подгорный Евгений Анатольевич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Поляков Илья Леонидович</w:t>
            </w:r>
            <w:r>
              <w:rPr>
                <w:sz w:val="28"/>
                <w:szCs w:val="28"/>
                <w:u w:val="none"/>
              </w:rPr>
            </w:r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rPr>
                <w:u w:val="none"/>
              </w:rPr>
            </w:pPr>
            <w:r>
              <w:rPr>
                <w:bCs w:val="0"/>
                <w:szCs w:val="20"/>
                <w:u w:val="none"/>
                <w:lang w:val="en-US" w:eastAsia="en-US"/>
              </w:rPr>
              <w:t xml:space="preserve">Похил Юрий Николаевич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rPr>
                <w:u w:val="none"/>
              </w:rPr>
            </w:pPr>
            <w:r>
              <w:rPr>
                <w:bCs w:val="0"/>
                <w:szCs w:val="20"/>
                <w:u w:val="none"/>
                <w:lang w:val="en-US" w:eastAsia="en-US"/>
              </w:rPr>
              <w:t xml:space="preserve">Титков Сергей Николаевич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  <w:rPr>
                <w:u w:val="none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Шаблинский Евгений Сергеевич</w:t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ind w:right="284"/>
              <w:rPr>
                <w:bCs/>
                <w:szCs w:val="20"/>
                <w:highlight w:val="none"/>
                <w:u w:val="none"/>
                <w:lang w:val="en-US" w:eastAsia="en-US"/>
              </w:rPr>
            </w:pPr>
            <w:r>
              <w:rPr>
                <w:bCs/>
                <w:sz w:val="28"/>
                <w:szCs w:val="28"/>
                <w:u w:val="none"/>
              </w:rPr>
            </w:r>
            <w:r>
              <w:rPr>
                <w:bCs w:val="0"/>
                <w:szCs w:val="20"/>
                <w:u w:val="none"/>
                <w:lang w:val="en-US" w:eastAsia="en-US"/>
              </w:rPr>
              <w:t xml:space="preserve">Яковлев Роман Борисович</w:t>
            </w:r>
            <w:r>
              <w:rPr>
                <w:u w:val="none"/>
              </w:rPr>
            </w:r>
            <w:r/>
          </w:p>
          <w:p>
            <w:pPr>
              <w:ind w:right="284"/>
              <w:rPr>
                <w:sz w:val="28"/>
                <w:szCs w:val="28"/>
                <w:u w:val="none"/>
              </w:rPr>
            </w:pPr>
            <w:r>
              <w:rPr>
                <w:bCs w:val="0"/>
                <w:szCs w:val="20"/>
                <w:highlight w:val="none"/>
                <w:u w:val="none"/>
                <w:lang w:val="en-US" w:eastAsia="en-US"/>
              </w:rPr>
            </w:r>
            <w:r>
              <w:rPr>
                <w:bCs w:val="0"/>
                <w:szCs w:val="20"/>
                <w:highlight w:val="none"/>
                <w:u w:val="none"/>
                <w:lang w:val="en-US" w:eastAsia="en-US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left="0"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  <w:t xml:space="preserve">Отсутствовали: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</w:pPr>
            <w:r>
              <w:rPr>
                <w:bCs/>
                <w:sz w:val="28"/>
                <w:szCs w:val="28"/>
                <w:u w:val="none"/>
              </w:rPr>
              <w:t xml:space="preserve">Сидоренко Иван Леонидович</w:t>
            </w:r>
            <w:r>
              <w:rPr>
                <w:bCs/>
                <w:sz w:val="28"/>
                <w:szCs w:val="28"/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right="284" w:firstLine="284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rPr>
                <w:highlight w:val="none"/>
                <w:lang w:val="en-US" w:eastAsia="en-US"/>
              </w:rPr>
            </w:pPr>
            <w:r>
              <w:rPr>
                <w:bCs w:val="0"/>
                <w:szCs w:val="20"/>
                <w:u w:val="none"/>
                <w:lang w:val="en-US" w:eastAsia="en-US"/>
              </w:rPr>
              <w:t xml:space="preserve">Франчук Дмитрий Вадимович</w:t>
            </w:r>
            <w:r>
              <w:rPr>
                <w:szCs w:val="20"/>
                <w:highlight w:val="none"/>
                <w:u w:val="none"/>
                <w:lang w:val="en-US" w:eastAsia="en-US"/>
              </w:rPr>
            </w:r>
            <w:r/>
          </w:p>
          <w:p>
            <w:r>
              <w:rPr>
                <w:bCs w:val="0"/>
                <w:szCs w:val="20"/>
                <w:highlight w:val="none"/>
                <w:u w:val="none"/>
                <w:lang w:val="en-US" w:eastAsia="en-US"/>
              </w:rPr>
            </w:r>
            <w:r>
              <w:rPr>
                <w:u w:val="none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877"/>
              <w:ind w:left="0"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/>
                <w:sz w:val="28"/>
                <w:szCs w:val="28"/>
              </w:rPr>
              <w:t xml:space="preserve">Референт: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77"/>
              <w:ind w:right="284"/>
              <w:rPr>
                <w:sz w:val="28"/>
                <w:szCs w:val="28"/>
                <w:highlight w:val="none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Кротова Надежда Михайловна</w:t>
            </w:r>
            <w:r>
              <w:rPr>
                <w:sz w:val="28"/>
                <w:szCs w:val="28"/>
                <w:highlight w:val="none"/>
                <w:u w:val="none"/>
              </w:rPr>
            </w:r>
            <w:r/>
          </w:p>
        </w:tc>
      </w:tr>
    </w:tbl>
    <w:p>
      <w:pPr>
        <w:ind w:firstLine="709"/>
        <w:jc w:val="both"/>
      </w:pPr>
      <w:r>
        <w:rPr>
          <w:highlight w:val="none"/>
          <w:u w:val="single"/>
        </w:rPr>
      </w:r>
      <w:r>
        <w:rPr>
          <w:highlight w:val="none"/>
          <w:u w:val="single"/>
        </w:rPr>
      </w:r>
      <w:r/>
    </w:p>
    <w:p>
      <w:pPr>
        <w:pStyle w:val="877"/>
        <w:ind w:firstLine="709"/>
        <w:jc w:val="both"/>
        <w:rPr>
          <w:highlight w:val="none"/>
          <w:u w:val="single"/>
        </w:rPr>
      </w:pPr>
      <w:r>
        <w:rPr>
          <w:u w:val="single"/>
        </w:rPr>
        <w:t xml:space="preserve">При</w:t>
      </w:r>
      <w:r>
        <w:rPr>
          <w:u w:val="single"/>
        </w:rPr>
        <w:t xml:space="preserve">глашенные</w:t>
      </w:r>
      <w:r>
        <w:rPr>
          <w:u w:val="single"/>
        </w:rPr>
        <w:t xml:space="preserve">:</w:t>
      </w:r>
      <w:r/>
    </w:p>
    <w:p>
      <w:pPr>
        <w:ind w:left="0" w:right="0" w:firstLine="709"/>
      </w:pPr>
      <w:r>
        <w:rPr>
          <w:szCs w:val="28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/>
    </w:p>
    <w:p>
      <w:pPr>
        <w:pStyle w:val="877"/>
        <w:ind w:left="0" w:right="0" w:firstLine="709"/>
        <w:jc w:val="both"/>
        <w:rPr>
          <w:highlight w:val="none"/>
        </w:rPr>
      </w:pPr>
      <w:r>
        <w:rPr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14265</wp:posOffset>
                </wp:positionH>
                <wp:positionV relativeFrom="paragraph">
                  <wp:posOffset>550363</wp:posOffset>
                </wp:positionV>
                <wp:extent cx="6466545" cy="0"/>
                <wp:effectExtent l="9525" t="9525" r="9525" b="9525"/>
                <wp:wrapTopAndBottom/>
                <wp:docPr id="3" name="Прямая соединительная линия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1">
                          <a:off x="0" y="0"/>
                          <a:ext cx="64665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61312;mso-wrap-distance-left:9.0pt;mso-wrap-distance-top:0.0pt;mso-wrap-distance-right:9.0pt;mso-wrap-distance-bottom:0.0pt;rotation:0;flip:y;visibility:visible;" from="1.1pt,43.3pt" to="510.3pt,43.3pt" filled="f" strokecolor="#000000" strokeweight="1.50pt">
                <v:stroke dashstyle="solid"/>
                <w10:wrap type="topAndBottom"/>
              </v:line>
            </w:pict>
          </mc:Fallback>
        </mc:AlternateContent>
      </w:r>
      <w:r>
        <w:rPr>
          <w:szCs w:val="28"/>
        </w:rPr>
        <w:t xml:space="preserve">Гарцуев</w:t>
      </w:r>
      <w:r>
        <w:rPr>
          <w:szCs w:val="28"/>
        </w:rPr>
        <w:t xml:space="preserve"> Сергей Иванович - руководитель аппарата Законодательного Собрания Новосибирской области.</w:t>
      </w:r>
      <w:r>
        <w:rPr>
          <w:highlight w:val="none"/>
        </w:rPr>
      </w:r>
      <w:r/>
    </w:p>
    <w:p>
      <w:pPr>
        <w:pStyle w:val="877"/>
        <w:ind w:firstLine="709"/>
        <w:jc w:val="both"/>
        <w:rPr>
          <w:b/>
          <w:highlight w:val="none"/>
        </w:rPr>
      </w:pPr>
      <w:r>
        <w:rPr>
          <w:b/>
        </w:rPr>
        <w:t xml:space="preserve">1. </w:t>
      </w:r>
      <w:r>
        <w:rPr>
          <w:b/>
        </w:rPr>
        <w:t xml:space="preserve">Утверждение повестки </w:t>
      </w:r>
      <w:r>
        <w:rPr>
          <w:b/>
        </w:rPr>
        <w:t xml:space="preserve">заседания </w:t>
      </w:r>
      <w:r>
        <w:rPr>
          <w:b/>
        </w:rPr>
        <w:t xml:space="preserve">комиссии</w:t>
      </w:r>
      <w:r>
        <w:rPr>
          <w:b/>
        </w:rPr>
        <w:t xml:space="preserve">.</w:t>
      </w:r>
      <w:r>
        <w:rPr>
          <w:b/>
        </w:rPr>
      </w:r>
      <w:r/>
    </w:p>
    <w:p>
      <w:pPr>
        <w:pStyle w:val="877"/>
        <w:ind w:firstLine="709"/>
        <w:jc w:val="both"/>
      </w:pPr>
      <w:r>
        <w:t xml:space="preserve">Доклад</w:t>
      </w:r>
      <w:r>
        <w:t xml:space="preserve">:</w:t>
      </w:r>
      <w:r>
        <w:t xml:space="preserve"> Козловский Дмитрий Анатольевич</w:t>
      </w:r>
      <w:r>
        <w:t xml:space="preserve"> – </w:t>
      </w:r>
      <w:r>
        <w:t xml:space="preserve">председатель комиссии Законодательного Собрания Новосибирской области по наказам избирателей</w:t>
      </w:r>
      <w:r>
        <w:t xml:space="preserve">.</w:t>
      </w:r>
      <w:r/>
    </w:p>
    <w:p>
      <w:pPr>
        <w:pStyle w:val="877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7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П</w:t>
      </w:r>
      <w:r>
        <w:rPr>
          <w:rFonts w:eastAsia="Calibri"/>
          <w:bCs w:val="0"/>
          <w:lang w:eastAsia="en-US"/>
        </w:rPr>
        <w:t xml:space="preserve">овестку заседания комиссии утвердить.</w:t>
      </w:r>
      <w:r>
        <w:rPr>
          <w:rFonts w:eastAsia="Calibri"/>
          <w:bCs w:val="0"/>
          <w:lang w:eastAsia="en-US"/>
        </w:rPr>
      </w:r>
      <w:r/>
    </w:p>
    <w:p>
      <w:pPr>
        <w:pStyle w:val="877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szCs w:val="28"/>
        </w:rPr>
        <w:t xml:space="preserve">единогласно</w:t>
      </w:r>
      <w:r>
        <w:rPr>
          <w:rFonts w:eastAsia="Calibri"/>
          <w:bCs w:val="0"/>
          <w:lang w:eastAsia="en-US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rFonts w:eastAsia="Calibri"/>
          <w:bCs w:val="0"/>
          <w:highlight w:val="none"/>
          <w:lang w:eastAsia="en-US"/>
        </w:rPr>
      </w:r>
      <w:r>
        <w:rPr>
          <w:rFonts w:eastAsia="Calibri"/>
          <w:bCs w:val="0"/>
          <w:highlight w:val="none"/>
          <w:lang w:eastAsia="en-US"/>
        </w:rPr>
      </w:r>
      <w:r/>
    </w:p>
    <w:p>
      <w:pPr>
        <w:pStyle w:val="882"/>
        <w:spacing w:after="0" w:afterAutospacing="0"/>
        <w:rPr>
          <w:b/>
          <w:szCs w:val="28"/>
          <w:highlight w:val="none"/>
        </w:rPr>
      </w:pPr>
      <w:r>
        <w:rPr>
          <w:b/>
        </w:rPr>
        <w:t xml:space="preserve">2.</w:t>
      </w:r>
      <w:r>
        <w:rPr>
          <w:rFonts w:eastAsia="Calibri"/>
          <w:b/>
          <w:bCs/>
          <w:lang w:eastAsia="en-US"/>
        </w:rPr>
        <w:t xml:space="preserve"> О внесении изменений в Положение о комиссии Законодательного Собрания Новосибирской области по наказам избирателей.</w:t>
      </w:r>
      <w:r/>
    </w:p>
    <w:p>
      <w:pPr>
        <w:pStyle w:val="882"/>
        <w:rPr>
          <w:highlight w:val="none"/>
        </w:rPr>
      </w:pPr>
      <w:r>
        <w:rPr>
          <w:i/>
          <w:szCs w:val="28"/>
        </w:rPr>
      </w: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877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7"/>
        <w:ind w:firstLine="708"/>
        <w:jc w:val="both"/>
        <w:spacing w:after="0" w:afterAutospacing="0"/>
      </w:pPr>
      <w:r>
        <w:t xml:space="preserve">Рекомендовать Законодательному Собранию Новосибирской области </w:t>
      </w:r>
      <w:r>
        <w:t xml:space="preserve">внести</w:t>
      </w:r>
      <w:r>
        <w:t xml:space="preserve"> изменения в </w:t>
      </w:r>
      <w:r>
        <w:t xml:space="preserve">Положение о комиссии Законодательного Собрания Новосибирской области по наказам избирателей</w:t>
      </w:r>
      <w:r>
        <w:t xml:space="preserve">, утвержденное постановлением Законодательного Собрания Новосибирской области от </w:t>
      </w:r>
      <w:r>
        <w:t xml:space="preserve">5 ноября 2020 года № 19.</w:t>
      </w:r>
      <w:r/>
    </w:p>
    <w:p>
      <w:pPr>
        <w:pStyle w:val="877"/>
        <w:ind w:firstLine="709"/>
        <w:jc w:val="both"/>
        <w:spacing w:after="0" w:afterAutospacing="0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77"/>
        <w:ind w:firstLine="709"/>
        <w:jc w:val="both"/>
        <w:rPr>
          <w:highlight w:val="none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  <w:t xml:space="preserve">«За» – </w:t>
      </w:r>
      <w:r>
        <w:rPr>
          <w:szCs w:val="28"/>
        </w:rPr>
        <w:t xml:space="preserve">единогласно</w:t>
      </w:r>
      <w:r>
        <w:t xml:space="preserve">.</w:t>
      </w:r>
      <w:r>
        <w:rPr>
          <w:rFonts w:eastAsia="Calibri"/>
          <w:lang w:eastAsia="en-US"/>
        </w:rPr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77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/>
    </w:p>
    <w:p>
      <w:pPr>
        <w:pStyle w:val="877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/>
    </w:p>
    <w:p>
      <w:pPr>
        <w:pStyle w:val="877"/>
        <w:jc w:val="both"/>
      </w:pPr>
      <w:r>
        <w:t xml:space="preserve">Председатель комиссии                                                                            Д.А. Козловский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709" w:right="567" w:bottom="1134" w:left="1134" w:header="714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fldSimple w:instr="PAGE \* MERGEFORMAT">
      <w:r>
        <w:rPr>
          <w:color w:val="auto"/>
          <w:sz w:val="20"/>
        </w:rPr>
        <w:t xml:space="preserve">1</w:t>
      </w:r>
    </w:fldSimple>
    <w:r>
      <w:rPr>
        <w:color w:val="auto"/>
        <w:sz w:val="20"/>
      </w:rPr>
    </w:r>
    <w:r>
      <w:rPr>
        <w:color w:val="auto"/>
        <w:sz w:val="20"/>
      </w:rPr>
    </w:r>
    <w:r/>
  </w:p>
  <w:p>
    <w:pPr>
      <w:pStyle w:val="7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tabs>
        <w:tab w:val="left" w:pos="6398" w:leader="none"/>
        <w:tab w:val="clear" w:pos="7143" w:leader="none"/>
        <w:tab w:val="clear" w:pos="14287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7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7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7"/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7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7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7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7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7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7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7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7"/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7"/>
    <w:next w:val="87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rPr>
      <w:bCs/>
      <w:sz w:val="28"/>
      <w:szCs w:val="28"/>
      <w:lang w:val="ru-RU" w:eastAsia="ru-RU" w:bidi="ar-SA"/>
    </w:rPr>
  </w:style>
  <w:style w:type="paragraph" w:styleId="878">
    <w:name w:val="Заголовок 1"/>
    <w:basedOn w:val="877"/>
    <w:next w:val="877"/>
    <w:link w:val="902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79">
    <w:name w:val="Основной шрифт абзаца"/>
    <w:next w:val="879"/>
    <w:link w:val="877"/>
    <w:semiHidden/>
  </w:style>
  <w:style w:type="table" w:styleId="880">
    <w:name w:val="Обычная таблица"/>
    <w:next w:val="880"/>
    <w:link w:val="877"/>
    <w:semiHidden/>
    <w:tblPr/>
  </w:style>
  <w:style w:type="numbering" w:styleId="881">
    <w:name w:val="Нет списка"/>
    <w:next w:val="881"/>
    <w:link w:val="877"/>
    <w:semiHidden/>
  </w:style>
  <w:style w:type="paragraph" w:styleId="882">
    <w:name w:val="Нижний колонтитул"/>
    <w:basedOn w:val="877"/>
    <w:next w:val="882"/>
    <w:link w:val="8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83">
    <w:name w:val="Гиперссылка"/>
    <w:next w:val="883"/>
    <w:link w:val="877"/>
    <w:rPr>
      <w:color w:val="0000ff"/>
      <w:u w:val="single"/>
    </w:rPr>
  </w:style>
  <w:style w:type="table" w:styleId="884">
    <w:name w:val="Сетка таблицы"/>
    <w:basedOn w:val="880"/>
    <w:next w:val="884"/>
    <w:link w:val="877"/>
    <w:tblPr/>
  </w:style>
  <w:style w:type="paragraph" w:styleId="885">
    <w:name w:val="Название"/>
    <w:basedOn w:val="877"/>
    <w:next w:val="885"/>
    <w:link w:val="897"/>
    <w:pPr>
      <w:jc w:val="center"/>
    </w:pPr>
    <w:rPr>
      <w:b/>
      <w:bCs w:val="0"/>
      <w:szCs w:val="20"/>
    </w:rPr>
  </w:style>
  <w:style w:type="paragraph" w:styleId="886">
    <w:name w:val="Подзаголовок"/>
    <w:basedOn w:val="877"/>
    <w:next w:val="886"/>
    <w:link w:val="898"/>
    <w:pPr>
      <w:jc w:val="center"/>
    </w:pPr>
    <w:rPr>
      <w:b/>
      <w:bCs w:val="0"/>
      <w:szCs w:val="20"/>
    </w:rPr>
  </w:style>
  <w:style w:type="character" w:styleId="887">
    <w:name w:val="Номер страницы"/>
    <w:basedOn w:val="879"/>
    <w:next w:val="887"/>
    <w:link w:val="877"/>
  </w:style>
  <w:style w:type="paragraph" w:styleId="888">
    <w:name w:val="Основной текст"/>
    <w:basedOn w:val="877"/>
    <w:next w:val="888"/>
    <w:link w:val="900"/>
    <w:pPr>
      <w:jc w:val="center"/>
    </w:pPr>
    <w:rPr>
      <w:b/>
      <w:bCs w:val="0"/>
      <w:sz w:val="24"/>
      <w:szCs w:val="20"/>
    </w:rPr>
  </w:style>
  <w:style w:type="paragraph" w:styleId="889">
    <w:name w:val="Основной текст 3"/>
    <w:basedOn w:val="877"/>
    <w:next w:val="889"/>
    <w:link w:val="877"/>
    <w:pPr>
      <w:spacing w:after="120"/>
    </w:pPr>
    <w:rPr>
      <w:sz w:val="16"/>
      <w:szCs w:val="16"/>
    </w:rPr>
  </w:style>
  <w:style w:type="paragraph" w:styleId="890">
    <w:name w:val="Цитата"/>
    <w:basedOn w:val="877"/>
    <w:next w:val="890"/>
    <w:link w:val="877"/>
    <w:pPr>
      <w:ind w:left="252" w:right="180"/>
    </w:pPr>
    <w:rPr>
      <w:bCs w:val="0"/>
      <w:sz w:val="20"/>
      <w:szCs w:val="24"/>
    </w:rPr>
  </w:style>
  <w:style w:type="paragraph" w:styleId="891">
    <w:name w:val="Верхний колонтитул"/>
    <w:basedOn w:val="877"/>
    <w:next w:val="891"/>
    <w:link w:val="901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92">
    <w:name w:val="Текст"/>
    <w:basedOn w:val="877"/>
    <w:next w:val="892"/>
    <w:link w:val="877"/>
    <w:rPr>
      <w:rFonts w:ascii="Courier New" w:hAnsi="Courier New"/>
      <w:bCs w:val="0"/>
      <w:sz w:val="20"/>
      <w:szCs w:val="20"/>
    </w:rPr>
  </w:style>
  <w:style w:type="paragraph" w:styleId="893">
    <w:name w:val="Текст сноски"/>
    <w:basedOn w:val="877"/>
    <w:next w:val="893"/>
    <w:link w:val="877"/>
    <w:semiHidden/>
    <w:pPr>
      <w:ind w:firstLine="340"/>
      <w:jc w:val="both"/>
    </w:pPr>
    <w:rPr>
      <w:bCs w:val="0"/>
      <w:sz w:val="20"/>
      <w:szCs w:val="20"/>
    </w:rPr>
  </w:style>
  <w:style w:type="character" w:styleId="894">
    <w:name w:val="Знак сноски"/>
    <w:next w:val="894"/>
    <w:link w:val="877"/>
    <w:semiHidden/>
    <w:rPr>
      <w:vertAlign w:val="superscript"/>
    </w:rPr>
  </w:style>
  <w:style w:type="paragraph" w:styleId="895">
    <w:name w:val="Основной текст с отступом"/>
    <w:basedOn w:val="877"/>
    <w:next w:val="895"/>
    <w:link w:val="877"/>
    <w:pPr>
      <w:ind w:left="283"/>
      <w:spacing w:after="120"/>
    </w:pPr>
  </w:style>
  <w:style w:type="paragraph" w:styleId="896">
    <w:name w:val="Текст выноски"/>
    <w:basedOn w:val="877"/>
    <w:next w:val="896"/>
    <w:link w:val="877"/>
    <w:semiHidden/>
    <w:rPr>
      <w:rFonts w:ascii="Tahoma" w:hAnsi="Tahoma"/>
      <w:sz w:val="16"/>
      <w:szCs w:val="16"/>
    </w:rPr>
  </w:style>
  <w:style w:type="character" w:styleId="897">
    <w:name w:val="Название Знак"/>
    <w:next w:val="897"/>
    <w:link w:val="885"/>
    <w:rPr>
      <w:b/>
      <w:sz w:val="28"/>
    </w:rPr>
  </w:style>
  <w:style w:type="character" w:styleId="898">
    <w:name w:val="Подзаголовок Знак"/>
    <w:next w:val="898"/>
    <w:link w:val="886"/>
    <w:rPr>
      <w:b/>
      <w:sz w:val="28"/>
    </w:rPr>
  </w:style>
  <w:style w:type="character" w:styleId="899">
    <w:name w:val="Нижний колонтитул Знак"/>
    <w:next w:val="899"/>
    <w:link w:val="882"/>
    <w:rPr>
      <w:sz w:val="28"/>
    </w:rPr>
  </w:style>
  <w:style w:type="character" w:styleId="900">
    <w:name w:val="Основной текст Знак"/>
    <w:next w:val="900"/>
    <w:link w:val="888"/>
    <w:rPr>
      <w:b/>
      <w:sz w:val="24"/>
    </w:rPr>
  </w:style>
  <w:style w:type="character" w:styleId="901">
    <w:name w:val="Верхний колонтитул Знак"/>
    <w:basedOn w:val="879"/>
    <w:next w:val="901"/>
    <w:link w:val="891"/>
  </w:style>
  <w:style w:type="character" w:styleId="902">
    <w:name w:val="Заголовок 1 Знак"/>
    <w:next w:val="902"/>
    <w:link w:val="878"/>
    <w:rPr>
      <w:b/>
      <w:sz w:val="28"/>
    </w:rPr>
  </w:style>
  <w:style w:type="paragraph" w:styleId="903">
    <w:name w:val="Знак Знак"/>
    <w:basedOn w:val="877"/>
    <w:next w:val="903"/>
    <w:link w:val="877"/>
    <w:pPr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  <w:style w:type="paragraph" w:styleId="907">
    <w:name w:val="Основной текст 2"/>
    <w:next w:val="709"/>
    <w:link w:val="73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2023-04-12T03:53:03Z</dcterms:modified>
</cp:coreProperties>
</file>