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-345457</wp:posOffset>
                </wp:positionV>
                <wp:extent cx="552450" cy="657225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7133777" name="image1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49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1.30pt;mso-position-horizontal:absolute;mso-position-vertical-relative:text;margin-top:-27.20pt;mso-position-vertical:absolute;width:43.50pt;height:51.75pt;mso-wrap-distance-left:9.00pt;mso-wrap-distance-top:0.00pt;mso-wrap-distance-right:9.00pt;mso-wrap-distance-bottom:0.0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ПО БЮДЖЕТНОЙ, ФИНАНСОВО-ЭКОНОМИЧЕСКОЙ  ПОЛИТИКЕ И СОБСТВЕННОСТИ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951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" w:tooltip="mailto:k_budg@zsnso.ru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17146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flip:y;visibility:visible;" from="1.4pt,1.3pt" to="514.4pt,1.4pt" filled="f" strokecolor="#000000" strokeweight="1.5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25 июня 2025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 ул.Кирова,3 малый зал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3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3"/>
        <w:shd w:val="clear" w:color="auto" w:fil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3"/>
        <w:shd w:val="clear" w:color="auto" w:fil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заседания комитета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tbl>
      <w:tblPr>
        <w:tblStyle w:val="952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3"/>
        <w:gridCol w:w="962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Диденко Ирина Валериевна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Заместители председателя комитета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Кальченко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Червов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Валерий Дмитриевич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Члены комитета: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Гайдук Сергей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Мороз Иван Григорьевич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Отсутствовали: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Карасева Дарья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Козловская Екатерина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Кулинич Александр Андреевич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Референты, советник комитета: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Ионова Екатерина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Притуленко Ольга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Орленко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Наталья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  <w:t xml:space="preserve">Приглашенные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19 участников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(список прилагается)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 О повестке дня и порядке работы заседания комитета.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 Принять за основу предложенную повестку заседания комитета.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 Утвердить повестку и порядок работы заседания комитет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в целом.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ГОЛОСОВАНИЕ: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-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З</w:t>
      </w:r>
      <w:r>
        <w:rPr>
          <w:rFonts w:ascii="Times New Roman" w:hAnsi="Times New Roman"/>
          <w:b/>
          <w:sz w:val="28"/>
          <w:szCs w:val="28"/>
        </w:rPr>
        <w:t xml:space="preserve">акона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второе чтение. Рассмотрение поправок субъектов права законодательной </w:t>
      </w:r>
      <w:r>
        <w:rPr>
          <w:rFonts w:ascii="Times New Roman" w:hAnsi="Times New Roman"/>
          <w:b/>
          <w:sz w:val="28"/>
          <w:szCs w:val="28"/>
        </w:rPr>
        <w:t xml:space="preserve">инициативы.</w:t>
      </w:r>
      <w:r>
        <w:rPr>
          <w:rFonts w:ascii="Times New Roman" w:hAnsi="Times New Roman"/>
          <w:b/>
          <w:sz w:val="27"/>
          <w:szCs w:val="27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Внести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«О внесении изменений в З</w:t>
      </w:r>
      <w:r>
        <w:rPr>
          <w:rFonts w:ascii="Times New Roman" w:hAnsi="Times New Roman"/>
          <w:sz w:val="28"/>
          <w:szCs w:val="28"/>
        </w:rPr>
        <w:t xml:space="preserve">акон Новосибирской области «О налогах и особенностях налогообложения отдельных категорий налогоплательщиков в Новосибирской области»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реком</w:t>
      </w:r>
      <w:r>
        <w:rPr>
          <w:rFonts w:ascii="Times New Roman" w:hAnsi="Times New Roman" w:cs="Times New Roman"/>
          <w:sz w:val="28"/>
          <w:szCs w:val="28"/>
        </w:rPr>
        <w:t xml:space="preserve">ендовать его к принятию во втором чтении с учетом поправок, сформированных в таблицу № 1 – поправки, рекомендуемые комитетом к принятию.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Рекомендовать Правительству Новосибирской области (министерству экономического развития Новосибирской области) раз</w:t>
      </w:r>
      <w:r>
        <w:rPr>
          <w:rFonts w:ascii="Times New Roman" w:hAnsi="Times New Roman" w:cs="Times New Roman"/>
          <w:sz w:val="28"/>
          <w:szCs w:val="28"/>
        </w:rPr>
        <w:t xml:space="preserve">работать систему мер, позволяющих Правительству Новосибирской области участвовать в привлечении и отборе резидентов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особой экономической зоны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получения максимальной эффективности, прежде всего бюджетной, от реализации инвестиционных проектов в сфер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промышленно-производственной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 особой экономической зоны.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3. </w:t>
      </w:r>
      <w:hyperlink r:id="rId12" w:tooltip="https://old.nso.ru/php/sovetprav_files/files/zakon%2886%29.docx" w:history="1">
        <w:r>
          <w:rPr>
            <w:rStyle w:val="958"/>
            <w:rFonts w:ascii="Times New Roman" w:hAnsi="Times New Roman" w:eastAsia="Arial"/>
            <w:sz w:val="28"/>
            <w:szCs w:val="28"/>
          </w:rPr>
          <w:t xml:space="preserve">О проекте закона Новосибирской области «О внесении изменения в статью 1 Закона Новосибирской области «Об уста</w:t>
        </w:r>
        <w:r>
          <w:rPr>
            <w:rStyle w:val="958"/>
            <w:rFonts w:ascii="Times New Roman" w:hAnsi="Times New Roman" w:eastAsia="Arial"/>
            <w:sz w:val="28"/>
            <w:szCs w:val="28"/>
          </w:rPr>
          <w:t xml:space="preserve">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</w:t>
        </w:r>
        <w:r>
          <w:rPr>
            <w:rStyle w:val="958"/>
            <w:rFonts w:ascii="Times New Roman" w:hAnsi="Times New Roman" w:eastAsia="Arial"/>
            <w:sz w:val="28"/>
            <w:szCs w:val="28"/>
          </w:rPr>
          <w:t xml:space="preserve">аренду без проведения торгов», вт</w:t>
        </w:r>
        <w:r>
          <w:rPr>
            <w:rStyle w:val="958"/>
            <w:rFonts w:ascii="Times New Roman" w:hAnsi="Times New Roman" w:eastAsia="Arial"/>
            <w:sz w:val="28"/>
            <w:szCs w:val="28"/>
          </w:rPr>
          <w:t xml:space="preserve">орое чтение. </w:t>
        </w:r>
      </w:hyperlink>
      <w:r>
        <w:rPr>
          <w:rFonts w:ascii="Times New Roman" w:hAnsi="Times New Roman"/>
          <w:b/>
          <w:sz w:val="28"/>
          <w:szCs w:val="28"/>
        </w:rPr>
        <w:t xml:space="preserve"> Рассмотрение поправок субъектов права законодательной инициативы.</w:t>
      </w:r>
      <w:r>
        <w:rPr>
          <w:rFonts w:ascii="Times New Roman" w:hAnsi="Times New Roman"/>
          <w:b/>
          <w:sz w:val="27"/>
          <w:szCs w:val="27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7"/>
          <w:szCs w:val="27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Кальченко</w:t>
      </w:r>
      <w:r>
        <w:rPr>
          <w:rFonts w:ascii="Times New Roman" w:hAnsi="Times New Roman"/>
          <w:sz w:val="28"/>
          <w:szCs w:val="28"/>
        </w:rPr>
        <w:t xml:space="preserve"> С.В., Решетников Л.Н.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 внесении изменения в статью 1 Закона Новосибирской области «Об установлении критериев, кот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</w:t>
      </w:r>
      <w:r>
        <w:rPr>
          <w:rFonts w:ascii="Times New Roman" w:hAnsi="Times New Roman" w:cs="Times New Roman"/>
          <w:sz w:val="28"/>
          <w:szCs w:val="28"/>
        </w:rPr>
        <w:t xml:space="preserve">ятию во втором чтении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Комитету Законодательного Собрания Новосибирской области по бюджетной, финансово-экономической политике и собственности осенью 2025 года совместно с Правительством Новосибирской области (министерством экономического развития Нов</w:t>
      </w:r>
      <w:r>
        <w:rPr>
          <w:rFonts w:ascii="Times New Roman" w:hAnsi="Times New Roman" w:cs="Times New Roman"/>
          <w:sz w:val="28"/>
          <w:szCs w:val="28"/>
        </w:rPr>
        <w:t xml:space="preserve">осибирской области) запланировать работу по рассмотрению возможности актуализации критериев, установленных Законом Новосибирской области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от 1 июля 2015 года №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и в аренду без проведения торгов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4. Об итогах социально-экономического развития Новосибирской области за 2024 год.</w:t>
      </w:r>
      <w:r>
        <w:rPr>
          <w:rFonts w:ascii="Times New Roman" w:hAnsi="Times New Roman"/>
          <w:b/>
          <w:sz w:val="27"/>
          <w:szCs w:val="27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Доклад: Решетников Лев Николаевич – министр экономического развития Новосибирской области</w:t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Диденко И.В., Решетников Л.Н.,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Кальченко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С.В.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61"/>
        <w:ind w:firstLine="709"/>
      </w:pPr>
      <w:r>
        <w:t xml:space="preserve">4.1. Принять к сведению информацию об итогах социально-экономического развития Новосибирской области за 2024 год.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Предложить в проект повестки дня 59-ой сессии Законодательн</w:t>
      </w:r>
      <w:r>
        <w:rPr>
          <w:rFonts w:ascii="Times New Roman" w:hAnsi="Times New Roman" w:cs="Times New Roman"/>
          <w:sz w:val="28"/>
          <w:szCs w:val="28"/>
        </w:rPr>
        <w:t xml:space="preserve">ого Собрания Новосибирской области включить вопрос «Об итогах социально-экономического развития Новосибирской области за 2024 год».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 Внести на рассмотрение 59</w:t>
      </w:r>
      <w:r>
        <w:rPr>
          <w:rFonts w:ascii="Times New Roman" w:hAnsi="Times New Roman" w:cs="Times New Roman"/>
          <w:sz w:val="28"/>
          <w:szCs w:val="28"/>
        </w:rPr>
        <w:t xml:space="preserve">-ой сессии Законодательного Собрания Новосибирской области проект постановления Законодательного Собрания Новосибирской области «Об итогах социально-экономического развития Новосибирской области за 2024 год» и рекомендовать его к принятию (прилагается).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5. Об отчете об исполнении областного бюджета Новосибирской области за 2024 год и проекте закона Новосибирской области «Об исполнении областного бюджета Новосибирской области за 2024 год», первое чтение. </w:t>
      </w:r>
      <w:r>
        <w:rPr>
          <w:rFonts w:ascii="Times New Roman" w:hAnsi="Times New Roman"/>
          <w:b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</w:t>
      </w:r>
      <w:r>
        <w:rPr>
          <w:rFonts w:ascii="Times New Roman" w:hAnsi="Times New Roman"/>
          <w:sz w:val="28"/>
          <w:szCs w:val="28"/>
        </w:rPr>
        <w:t xml:space="preserve">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7"/>
          <w:szCs w:val="27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Содоклады: </w:t>
      </w:r>
      <w:r>
        <w:rPr>
          <w:rFonts w:ascii="Times New Roman" w:hAnsi="Times New Roman"/>
          <w:sz w:val="27"/>
          <w:szCs w:val="27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7"/>
          <w:szCs w:val="27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Гончарова Елена Анатольевна – председатель Контрольно-счетной палаты Новосибирской области</w:t>
      </w:r>
      <w:r>
        <w:rPr>
          <w:rFonts w:ascii="Times New Roman" w:hAnsi="Times New Roman"/>
          <w:sz w:val="27"/>
          <w:szCs w:val="27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7"/>
          <w:szCs w:val="27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Морозов Геннадий Геннадьевич – руководитель Управления Федеральной налоговой службы по Новосибирской области</w:t>
      </w:r>
      <w:r>
        <w:rPr>
          <w:rFonts w:ascii="Times New Roman" w:hAnsi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 Внести на рассмотрение 59-ой </w:t>
      </w:r>
      <w:r>
        <w:rPr>
          <w:rFonts w:ascii="Times New Roman" w:hAnsi="Times New Roman" w:cs="Times New Roman"/>
          <w:sz w:val="28"/>
          <w:szCs w:val="28"/>
        </w:rPr>
        <w:t xml:space="preserve">сессии Законодательного Собрания Новосибирской области проект закона Новосибирской области «Об исполнении областного бюджета Новосибирской области за 2024 год» 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Рекомендовать Правительству Новосибирской о</w:t>
      </w:r>
      <w:r>
        <w:rPr>
          <w:rFonts w:ascii="Times New Roman" w:hAnsi="Times New Roman" w:cs="Times New Roman"/>
          <w:sz w:val="28"/>
          <w:szCs w:val="28"/>
        </w:rPr>
        <w:t xml:space="preserve">бласти: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5.2.1) в целях выполнения Новосибирской областью целевых показателей и задач, характеризующих достижение национальных проектов,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разработанных в соответствии с </w:t>
      </w:r>
      <w:hyperlink r:id="rId13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{КонсультантПлюс}" w:history="1">
        <w:r>
          <w:rPr>
            <w:rFonts w:ascii="Times New Roman" w:hAnsi="Times New Roman" w:cs="Times New Roman"/>
            <w:sz w:val="28"/>
            <w:szCs w:val="28"/>
          </w:rPr>
          <w:t xml:space="preserve"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7 мая 2024 года № 309 «О национальных целя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х развития Российской Федерации на период до 2030 года и на период до 2036 года», </w:t>
      </w:r>
      <w:r>
        <w:rPr>
          <w:rFonts w:ascii="Times New Roman" w:hAnsi="Times New Roman" w:cs="Times New Roman"/>
          <w:sz w:val="28"/>
          <w:szCs w:val="28"/>
        </w:rPr>
        <w:t xml:space="preserve">принять меры по недопущению неполного освоения средств областного бюджета Новосибирской области, предусмотренных на возведение объектов капитального строительства в рамках ре</w:t>
      </w:r>
      <w:r>
        <w:rPr>
          <w:rFonts w:ascii="Times New Roman" w:hAnsi="Times New Roman" w:cs="Times New Roman"/>
          <w:sz w:val="28"/>
          <w:szCs w:val="28"/>
        </w:rPr>
        <w:t xml:space="preserve">ализации мероприятий национальных проектов, в том числе за счет усиления мер ответственности за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эффективное расходование средств и срыв</w:t>
      </w:r>
      <w:r>
        <w:rPr>
          <w:rFonts w:ascii="Times New Roman" w:hAnsi="Times New Roman" w:cs="Times New Roman"/>
          <w:sz w:val="28"/>
          <w:szCs w:val="28"/>
        </w:rPr>
        <w:t xml:space="preserve"> сроков возведения объектов;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5.2.2) </w:t>
      </w:r>
      <w:r>
        <w:rPr>
          <w:rFonts w:ascii="Times New Roman" w:hAnsi="Times New Roman"/>
          <w:sz w:val="28"/>
          <w:szCs w:val="28"/>
        </w:rPr>
        <w:t xml:space="preserve">усилить взаимодействие с федеральными органами исполнительной власти, органами местного самоуправления муниципальных образований Новосибирской области в целях обеспечения своевременного финансирования и соблюдения сроков строительства объектов социальной, </w:t>
      </w:r>
      <w:r>
        <w:rPr>
          <w:rFonts w:ascii="Times New Roman" w:hAnsi="Times New Roman"/>
          <w:sz w:val="28"/>
          <w:szCs w:val="28"/>
        </w:rPr>
        <w:t xml:space="preserve">коммунальной и транспортной инфраструктуры, в том числе в рамках использования высвобождающихся средств в объеме двух третей задолженности по бюджетным </w:t>
      </w:r>
      <w:r>
        <w:rPr>
          <w:rFonts w:ascii="Times New Roman" w:hAnsi="Times New Roman"/>
          <w:sz w:val="28"/>
          <w:szCs w:val="28"/>
        </w:rPr>
        <w:t xml:space="preserve">кредитам в соответствии с постановлением Правительства Российской Федерации от 01.02.2025 № 79;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5.2.3) у</w:t>
      </w:r>
      <w:r>
        <w:rPr>
          <w:rFonts w:ascii="Times New Roman" w:hAnsi="Times New Roman" w:cs="Times New Roman"/>
          <w:sz w:val="28"/>
          <w:szCs w:val="28"/>
        </w:rPr>
        <w:t xml:space="preserve">читывая тенденцию снижения объема межбюджетных трансфертов, предоставляемых Новосибирской области из федерального бюджета, увеличения объема государственного внутреннего долга Новосибирской области, принять дополнительные меры по мобилизации доходов област</w:t>
      </w:r>
      <w:r>
        <w:rPr>
          <w:rFonts w:ascii="Times New Roman" w:hAnsi="Times New Roman" w:cs="Times New Roman"/>
          <w:sz w:val="28"/>
          <w:szCs w:val="28"/>
        </w:rPr>
        <w:t xml:space="preserve">ного бюджета Новосибирской области, выявлению резервов роста налогового потенциала и стимулированию привлечения инвестиций в экономику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5.2.4) обратить особое внимание на необходимость комплексного решения вопросов, связанных с хранен</w:t>
      </w:r>
      <w:r>
        <w:rPr>
          <w:rFonts w:ascii="Times New Roman" w:hAnsi="Times New Roman" w:cs="Times New Roman"/>
          <w:sz w:val="28"/>
          <w:szCs w:val="28"/>
        </w:rPr>
        <w:t xml:space="preserve">ием и утилизацией отходов в Новосибирской области в рамках реализации мероприятий государственной программы Новосибирской области «Развитие системы обращения с отходами производства и потребления в Новосибирской области», в том числе таких как: недостаточн</w:t>
      </w:r>
      <w:r>
        <w:rPr>
          <w:rFonts w:ascii="Times New Roman" w:hAnsi="Times New Roman" w:cs="Times New Roman"/>
          <w:sz w:val="28"/>
          <w:szCs w:val="28"/>
        </w:rPr>
        <w:t xml:space="preserve">ость имеющихся мощностей для размещения отходов, наличие несанкционированных свалок, затягивание и срыв сроков строительства полигонов, проблемы с операторами по вывозу отходов.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 Рекомендовать министерству строительства Новосибирской области совместно</w:t>
      </w:r>
      <w:r>
        <w:rPr>
          <w:rFonts w:ascii="Times New Roman" w:hAnsi="Times New Roman" w:cs="Times New Roman"/>
          <w:sz w:val="28"/>
          <w:szCs w:val="28"/>
        </w:rPr>
        <w:t xml:space="preserve"> с ГКУ Новосибирской области «Управление капитального строительства», а также министерству транспорта и дорожного хозяйства Новосибирской области совместно с ГКУ Новосибирской области «Территориальное управление автомобильных дорог» обеспечить эффективный </w:t>
      </w:r>
      <w:r>
        <w:rPr>
          <w:rFonts w:ascii="Times New Roman" w:hAnsi="Times New Roman" w:cs="Times New Roman"/>
          <w:sz w:val="28"/>
          <w:szCs w:val="28"/>
        </w:rPr>
        <w:t xml:space="preserve">контроль за ходом строительства объектов государственной собственности Новосибирской области и выполнением обязательств со стороны подрядных организаций.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639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5.4. Рекомендовать министерству жилищно-коммунального хозяйства и энергетики Новосибирской области: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639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</w:t>
      </w:r>
      <w:r>
        <w:rPr>
          <w:rFonts w:ascii="Times New Roman" w:hAnsi="Times New Roman" w:cs="Times New Roman"/>
          <w:bCs/>
          <w:sz w:val="28"/>
          <w:szCs w:val="28"/>
        </w:rPr>
        <w:t xml:space="preserve">4.1) проинформировать Законодательное Собрание Новосибирской области о причинах низкого исполнения за отчетный период ряда мероприятий государственной программы Новосибирской области «Жилищно-коммунальное хозяйство Новосибирской области», в том числе: «Реа</w:t>
      </w:r>
      <w:r>
        <w:rPr>
          <w:rFonts w:ascii="Times New Roman" w:hAnsi="Times New Roman" w:cs="Times New Roman"/>
          <w:bCs/>
          <w:sz w:val="28"/>
          <w:szCs w:val="28"/>
        </w:rPr>
        <w:t xml:space="preserve">лизация программ формирования современной городской среды (организация общественных пространств и дворовых территорий многоквартирных домов)», проект «Строительство и реконструкция объектов централизованных систем холодного водоснабжения и водоотведения»,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региональный проект «Чистая вода», проект «Развитие газоснабжения», и мерах, принимаемых министерством для предотвращения аналогичной ситуации в текущем году.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5.4.2) 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в целях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стабильной работы жилищно-коммунального комплекса, повышения качества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предоставляемых услуг </w:t>
      </w:r>
      <w:r>
        <w:rPr>
          <w:rFonts w:ascii="Times New Roman" w:hAnsi="Times New Roman" w:cs="Times New Roman"/>
          <w:sz w:val="28"/>
          <w:szCs w:val="28"/>
        </w:rPr>
        <w:t xml:space="preserve">проработать вопрос о необходимости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разработки специальной целевой программы или внесения изменений в действующие механизмы государственной поддержки для обеспечения муниципальных образований Новосибирской области специальной техникой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.</w:t>
      </w:r>
      <w:r>
        <w:rPr>
          <w:color w:val="212121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639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 Рекомендовать министерству транспорта и дорожного хозяйства Новосибирской области проработать вопрос об увеличении темпов ремонтных работ на автомобильной дороге «Здвинск – Барабинск» в Здвинском районе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области, а также затрат на ее со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держание за счет увеличения объемов финансирования в рамках реализации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 В процессе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областного бюджета Новосибирской области в 2025 году: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уделять особое внимание социально-экономическому развитию территорий сельских поселений с целью улучшения условий жизни жителей сельских населенных пунктов за счет обеспечения устойчивого сок</w:t>
      </w:r>
      <w:r>
        <w:rPr>
          <w:rFonts w:ascii="Times New Roman" w:hAnsi="Times New Roman" w:cs="Times New Roman"/>
          <w:sz w:val="28"/>
          <w:szCs w:val="28"/>
        </w:rPr>
        <w:t xml:space="preserve">ращения доли непригодного для проживания жилищного фонда, повышения уровня благоустройства сельских населенных пунктов и транспортной доступности, обес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печения коммунальной инфраструктурой, в том числе центральным водоснабжением и водоотведением, газо-, эне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ргоснабжением;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продолжить работу по обеспечению сбалансированности областного бюджета Новосибирской области, содействию в обеспечении сбалансированности местных бюджетов, сохранению безопасного уровня долговой нагрузки на областной бюджет Новосибирской обл</w:t>
      </w:r>
      <w:r>
        <w:rPr>
          <w:rFonts w:ascii="Times New Roman" w:hAnsi="Times New Roman"/>
          <w:sz w:val="28"/>
          <w:szCs w:val="28"/>
          <w:highlight w:val="white"/>
        </w:rPr>
        <w:t xml:space="preserve">асти.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5.7. Принять к сведению информацию руководителя Управления Федеральной нал</w:t>
      </w:r>
      <w:r>
        <w:rPr>
          <w:rFonts w:ascii="Times New Roman" w:hAnsi="Times New Roman"/>
          <w:sz w:val="28"/>
          <w:szCs w:val="28"/>
          <w:highlight w:val="white"/>
        </w:rPr>
        <w:t xml:space="preserve">оговой службы по Новосибирской области Морозова Г.Г. по вопросу об отчете об исполнении областного бюджета Новосибирской области за 2024 год и рекомендовать Управлению Федеральной налоговой службы по Новосибирской области продолжить работу по увеличению до</w:t>
      </w:r>
      <w:r>
        <w:rPr>
          <w:rFonts w:ascii="Times New Roman" w:hAnsi="Times New Roman"/>
          <w:sz w:val="28"/>
          <w:szCs w:val="28"/>
          <w:highlight w:val="white"/>
        </w:rPr>
        <w:t xml:space="preserve">ходной части областного бюджета Новосибирской области, в том числе за счет повышения собираемости налоговых доходов, выявлению резервов роста налогового потенциала, усилению работы с неплательщиками налогов (сборов) и кредиторской задолженностью и другое, 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</w:t>
      </w: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 Рекомендовать органам местного самоуправления муниципальных образований Новосибирской области усилить контроль за соблюдением сроков строительства объектов муниципаль</w:t>
      </w:r>
      <w:r>
        <w:rPr>
          <w:rFonts w:ascii="Times New Roman" w:hAnsi="Times New Roman"/>
          <w:sz w:val="28"/>
          <w:szCs w:val="28"/>
        </w:rPr>
        <w:t xml:space="preserve">ной собственности, </w:t>
      </w:r>
      <w:r>
        <w:rPr>
          <w:rFonts w:ascii="Times New Roman" w:hAnsi="Times New Roman"/>
          <w:sz w:val="28"/>
          <w:szCs w:val="28"/>
        </w:rPr>
        <w:t xml:space="preserve">софинансирование</w:t>
      </w:r>
      <w:r>
        <w:rPr>
          <w:rFonts w:ascii="Times New Roman" w:hAnsi="Times New Roman"/>
          <w:sz w:val="28"/>
          <w:szCs w:val="28"/>
        </w:rPr>
        <w:t xml:space="preserve"> которых осуществляется за счет средств обла</w:t>
      </w:r>
      <w:r>
        <w:rPr>
          <w:rFonts w:ascii="Times New Roman" w:hAnsi="Times New Roman"/>
          <w:sz w:val="28"/>
          <w:szCs w:val="28"/>
        </w:rPr>
        <w:t xml:space="preserve">стного бюджета Новосибирской области.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6. О сводном заключении комитета Законодательного Собрания Новосибирской области по бюджетной, финансово-экономической политике и собственности на </w:t>
      </w:r>
      <w:r>
        <w:rPr>
          <w:rFonts w:ascii="Times New Roman" w:hAnsi="Times New Roman"/>
          <w:b/>
          <w:sz w:val="28"/>
          <w:szCs w:val="28"/>
        </w:rPr>
        <w:t xml:space="preserve">отчет об исполнении областного бюджета Новосибирской области за 2024 год и проект закона Новосибирской области «Об исполнении областного бюджета Новосибирской области за 2024 год».</w:t>
      </w:r>
      <w:r>
        <w:rPr>
          <w:rFonts w:ascii="Times New Roman" w:hAnsi="Times New Roman"/>
          <w:b/>
          <w:sz w:val="27"/>
          <w:szCs w:val="27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</w:t>
      </w:r>
      <w:r>
        <w:rPr>
          <w:rFonts w:ascii="Times New Roman" w:hAnsi="Times New Roman"/>
          <w:sz w:val="28"/>
          <w:szCs w:val="28"/>
        </w:rPr>
        <w:t xml:space="preserve">о Собрания Новосибирской области – председатель комитета</w:t>
      </w:r>
      <w:r>
        <w:rPr>
          <w:rFonts w:ascii="Times New Roman" w:hAnsi="Times New Roman"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6.1. Согласиться с выводами, изложенными в сводном заключении комитета Законодательного Собрания Новосибирской области по бюджетной, финансово-экономической политике и собственности на отчет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областного бю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джета Новосибирской области за 2024 год и проект закона Новосибирской области «Об исполнении областного бюджета Новосибирской области за 2024 год» (прилагается).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.2. Поручить выступить с выводами сводного заключения на 59-о</w:t>
      </w:r>
      <w:r>
        <w:rPr>
          <w:rFonts w:ascii="Times New Roman" w:hAnsi="Times New Roman" w:cs="Times New Roman"/>
          <w:sz w:val="28"/>
          <w:szCs w:val="28"/>
        </w:rPr>
        <w:t xml:space="preserve">й сессии Законодательного Собрания Новосибирской области Диденко Ирине Валериевне, заместителю Председателя Законодательного Собрания Новосибирской области - председателю комитета Законодательного Собрания Новосибирской области по бюджетной, финансово-экон</w:t>
      </w:r>
      <w:r>
        <w:rPr>
          <w:rFonts w:ascii="Times New Roman" w:hAnsi="Times New Roman" w:cs="Times New Roman"/>
          <w:sz w:val="28"/>
          <w:szCs w:val="28"/>
        </w:rPr>
        <w:t xml:space="preserve">омической политике и собственности.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7.</w:t>
      </w:r>
      <w:r>
        <w:rPr>
          <w:rFonts w:ascii="Times New Roman" w:hAnsi="Times New Roman"/>
          <w:b/>
          <w:i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Об отчете об управлении и распоряжении государственной собственностью Новосибирской области за 2024 год.</w:t>
      </w:r>
      <w:r>
        <w:rPr>
          <w:rFonts w:ascii="Times New Roman" w:hAnsi="Times New Roman"/>
          <w:b/>
          <w:sz w:val="27"/>
          <w:szCs w:val="27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Шилохвостов</w:t>
      </w:r>
      <w:r>
        <w:rPr>
          <w:rFonts w:ascii="Times New Roman" w:hAnsi="Times New Roman"/>
          <w:sz w:val="28"/>
          <w:szCs w:val="28"/>
        </w:rPr>
        <w:t xml:space="preserve">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/>
          <w:sz w:val="28"/>
          <w:szCs w:val="28"/>
        </w:rPr>
        <w:t xml:space="preserve">Диденко И.В., Франчук Д.В.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.1. 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Шилохвостова</w:t>
      </w:r>
      <w:r>
        <w:rPr>
          <w:rFonts w:ascii="Times New Roman" w:hAnsi="Times New Roman" w:cs="Times New Roman"/>
          <w:sz w:val="28"/>
          <w:szCs w:val="28"/>
        </w:rPr>
        <w:t xml:space="preserve"> Р.Г. – руководителя департамента имущества и земельных отношений Новосибирской области по вопросу «Об отчете об управлении и распоряжении государственной собственностью Новосибирской области за 2024 год».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Рекомендовать департаменту имущества и земельных отношений Новосибирской области: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продолжить работу по повышению эффективности управления государственной собственностью Новосибирской области;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учесть замечания департамента по социально-экономическим во</w:t>
      </w:r>
      <w:r>
        <w:rPr>
          <w:rFonts w:ascii="Times New Roman" w:hAnsi="Times New Roman" w:cs="Times New Roman"/>
          <w:sz w:val="28"/>
          <w:szCs w:val="28"/>
        </w:rPr>
        <w:t xml:space="preserve">просам аппарата Законодательного Собрания Новосибирской области при подготовке отчета об управлении и распоряжении государственной собственностью Новосибирской области в дальнейшем.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 В соответствии с Законом Новосибирской области от 6 июля 2018 года   </w:t>
      </w:r>
      <w:r>
        <w:rPr>
          <w:rFonts w:ascii="Times New Roman" w:hAnsi="Times New Roman" w:cs="Times New Roman"/>
          <w:sz w:val="28"/>
          <w:szCs w:val="28"/>
        </w:rPr>
        <w:t xml:space="preserve">          № 271-ОЗ «Об управлении и распоряжении государственной собственностью Новосибирской области» внести на рассмотрение сессии Законодательного Собрания Новосибирской области проект постановления «Об отчете об управлении и распоряжении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собственностью Новосибирской области за 2024 год».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 Рекомендовать сессии Законодательного Собрания Новосибирской области принять Отчет об управлении и распоряжении государственной собственностью Новосибирской области за 2024 год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7"/>
          <w:szCs w:val="27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 xml:space="preserve">8.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 передаче обла</w:t>
      </w:r>
      <w:r>
        <w:rPr>
          <w:rFonts w:ascii="Times New Roman" w:hAnsi="Times New Roman"/>
          <w:b/>
          <w:sz w:val="28"/>
          <w:szCs w:val="28"/>
        </w:rPr>
        <w:t xml:space="preserve">стного имущества, расположенного по адресу г. Новосибирск, ул. Садовая, д.26, находящегося на праве оперативного управления ГБОПУ НСО «Новосибирский химико-технологический колледж им. Д.И. Менделеева», в безвозмездное пользование. (</w:t>
      </w:r>
      <w:r>
        <w:rPr>
          <w:rFonts w:ascii="Times New Roman" w:hAnsi="Times New Roman"/>
          <w:b/>
          <w:sz w:val="28"/>
          <w:szCs w:val="28"/>
        </w:rPr>
        <w:t xml:space="preserve">вх</w:t>
      </w:r>
      <w:r>
        <w:rPr>
          <w:rFonts w:ascii="Times New Roman" w:hAnsi="Times New Roman"/>
          <w:b/>
          <w:sz w:val="28"/>
          <w:szCs w:val="28"/>
        </w:rPr>
        <w:t xml:space="preserve">. 1990/1 от 09.06.25, </w:t>
      </w:r>
      <w:r>
        <w:rPr>
          <w:rFonts w:ascii="Times New Roman" w:hAnsi="Times New Roman"/>
          <w:b/>
          <w:sz w:val="28"/>
          <w:szCs w:val="28"/>
        </w:rPr>
        <w:t xml:space="preserve">комитет по культуре 18.06.25 рассмотрит вопрос)</w:t>
      </w:r>
      <w:r>
        <w:rPr>
          <w:rFonts w:ascii="Times New Roman" w:hAnsi="Times New Roman"/>
          <w:b/>
          <w:sz w:val="27"/>
          <w:szCs w:val="27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Доклад: Малина Светлана Сергеевна – заместитель министра образования Новосибирской области</w:t>
      </w:r>
      <w:r>
        <w:rPr>
          <w:rFonts w:ascii="Times New Roman" w:hAnsi="Times New Roman"/>
          <w:sz w:val="27"/>
          <w:szCs w:val="27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8.1. Принять к сведению информацию Малиной С.С. – заместителя министра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по вопросу о</w:t>
      </w:r>
      <w:r>
        <w:rPr>
          <w:rFonts w:ascii="Times New Roman" w:hAnsi="Times New Roman"/>
          <w:bCs/>
          <w:sz w:val="28"/>
          <w:szCs w:val="28"/>
        </w:rPr>
        <w:t xml:space="preserve"> передаче областного имущества в безвозмездное пользование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8.2. </w:t>
      </w:r>
      <w:r>
        <w:rPr>
          <w:rFonts w:ascii="Times New Roman" w:hAnsi="Times New Roman" w:cs="Times New Roman"/>
          <w:sz w:val="28"/>
          <w:szCs w:val="28"/>
        </w:rPr>
        <w:t xml:space="preserve">С учётом положительного решения комитета Законодательного Собрания Новосибирской области по культуре, образованию, науке, спорту и молодежной политике от 18</w:t>
      </w:r>
      <w:r>
        <w:rPr>
          <w:rFonts w:ascii="Times New Roman" w:hAnsi="Times New Roman" w:cs="Times New Roman"/>
          <w:sz w:val="28"/>
          <w:szCs w:val="28"/>
        </w:rPr>
        <w:t xml:space="preserve"> июня 2025 года № 6 – 8 согласиться с передачей в безвозмездное пользование нежилых помещений общей площадью 84,2 кв. м. и оборудования в количестве 34 единиц, принадлежащих на праве оперативного управления ГБПОУ НСО «Новосибирский химико-технологический к</w:t>
      </w:r>
      <w:r>
        <w:rPr>
          <w:rFonts w:ascii="Times New Roman" w:hAnsi="Times New Roman" w:cs="Times New Roman"/>
          <w:sz w:val="28"/>
          <w:szCs w:val="28"/>
        </w:rPr>
        <w:t xml:space="preserve">олледж им. Д.И. Менделеева», расположенных по адресу: г. Новосибирск, ул. Садовая, д. 26, обществу с ограниченной ответственностью «Комбинат «Левобережный» сроком на 10 месяцев в целях предоставления услуг общественного питания обучающимся и сотрудникам ко</w:t>
      </w:r>
      <w:r>
        <w:rPr>
          <w:rFonts w:ascii="Times New Roman" w:hAnsi="Times New Roman" w:cs="Times New Roman"/>
          <w:sz w:val="28"/>
          <w:szCs w:val="28"/>
        </w:rPr>
        <w:t xml:space="preserve">лледжа.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9. О сводном годовом докладе о ходе реализации и об оценке эффективности государственных программ Новосибирской области за 2024 год.</w:t>
      </w:r>
      <w:r>
        <w:rPr>
          <w:rFonts w:ascii="Times New Roman" w:hAnsi="Times New Roman"/>
          <w:b/>
          <w:sz w:val="27"/>
          <w:szCs w:val="27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Доклад: Решетников Лев Николаевич – министр экономического</w:t>
      </w:r>
      <w:r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Кальченко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С.В., 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сводном годовом докладе о ходе реализации и об оценке эффективности государственных программ Новосибирской области за 2024 год.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 О награждении.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Кальченко</w:t>
      </w:r>
      <w:r>
        <w:rPr>
          <w:rFonts w:ascii="Times New Roman" w:hAnsi="Times New Roman"/>
          <w:sz w:val="28"/>
          <w:szCs w:val="28"/>
        </w:rPr>
        <w:t xml:space="preserve"> Сергей Владимирович – заместитель председателя комитета</w:t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pStyle w:val="95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о награждении Медалью Законодательного Собрания Новосибирской области «Общественное признание»: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Ани</w:t>
      </w:r>
      <w:r>
        <w:rPr>
          <w:rFonts w:ascii="Times New Roman" w:hAnsi="Times New Roman" w:cs="Times New Roman"/>
          <w:sz w:val="28"/>
          <w:szCs w:val="28"/>
        </w:rPr>
        <w:t xml:space="preserve">киной Ларисы Александровны, директора МБОУ г. Новосибирска «Средняя общеобразовательная школа № 69», за большой личный вклад в развитие системы образования в Новосибирской области и высокое профессиональное мастерство;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Сергея Владимировича, дирек</w:t>
      </w:r>
      <w:r>
        <w:rPr>
          <w:rFonts w:ascii="Times New Roman" w:hAnsi="Times New Roman" w:cs="Times New Roman"/>
          <w:sz w:val="28"/>
          <w:szCs w:val="28"/>
        </w:rPr>
        <w:t xml:space="preserve">тора ООО Строительная Компания «Сибирь-Строй», за большой личный вклад в развитие строительной отрасли в Новосибирской области и высокое профессиональное мастерство.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Законодательного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И.В. Диденко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</w:t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9</w:t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 апреля 2025 года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80" w:hanging="180"/>
        <w:jc w:val="center"/>
        <w:spacing w:after="0" w:line="240" w:lineRule="auto"/>
        <w:tabs>
          <w:tab w:val="left" w:pos="0" w:leader="none"/>
          <w:tab w:val="left" w:pos="1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 Н О Е   З А К Л Ю Ч Е Н И 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180" w:hanging="180"/>
        <w:jc w:val="center"/>
        <w:spacing w:after="0" w:line="240" w:lineRule="auto"/>
        <w:tabs>
          <w:tab w:val="left" w:pos="0" w:leader="none"/>
          <w:tab w:val="left" w:pos="1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отчет об исполнении областного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180" w:hanging="180"/>
        <w:jc w:val="center"/>
        <w:spacing w:after="0" w:line="240" w:lineRule="auto"/>
        <w:tabs>
          <w:tab w:val="left" w:pos="0" w:leader="none"/>
          <w:tab w:val="left" w:pos="180" w:leader="none"/>
          <w:tab w:val="left" w:pos="510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за 2024 год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ind w:firstLine="851"/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2024 году областной бюджет Новосибирской области исполнялся в условиях сохранения темпов экономического развития, продолжающейся адаптации производства, внешней торговли и финансовой сферы к санкциям. Меры бюджетной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налоговой политики были направлены на поддержание уровня доходов населения, реализацию приоритетных инвестиционных и инфраструктурных проектов.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Доходы областного бюджета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2024 году исполнены в объеме 296 372 876,0 тыс. руб., что на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101 454,2 тыс. руб. выше прогнозируемого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объема доходов (100,7% плановых значений), утвержденного Законом Новосибирской области «Об областном бюджете Новосибирской области на 2024 год и плановый период 2025 и 2026 годов» (далее – закон об областном бюджет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е). Объем доходов областного бюджета Новосибирской области за 2024 год по сравнению с 2023 годом увеличился на 24 184 413,3 тыс. руб. (108,9% к уровню 2023 года).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общем объеме доходов областного бюджета Новосибирской области налоговые и неналоговые посту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пления составили 263</w:t>
      </w:r>
      <w:r>
        <w:rPr>
          <w:rFonts w:ascii="Times New Roman" w:hAnsi="Times New Roman" w:cs="Times New Roman"/>
          <w:sz w:val="28"/>
          <w:szCs w:val="28"/>
        </w:rPr>
        <w:t xml:space="preserve"> 176 909,6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тыс. руб.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88,8% (темп роста к 2023 году – 116,5%), безвозмездные поступления – 33 195 966,4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тыс. руб. или 11,2% (71,6% к уровню 2023 года).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Фактическое исполнение доходов за 2024 год на 8,9% больше поступлений 2023 года за счет увеличения налоговых и неналоговых доходов на 37 353 467,0 тыс. рублей (или на 16,5%) и уменьшения безвозмездных поступлений на 13 169 053,7 тыс. рублей (или на 28,4%).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Налоговые доходы составили 253 264 255,8 тыс. руб. и увеличились по сравнению с 2023 годом на 34 540 051,8 тыс. руб. или на 15,8%.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общем объеме налоговых доходов на долю налога на прибыль организаций приходится 35,4% от общей суммы налоговых доходов (2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023 год – 38,8%), налога на доходы физических лиц – 33,7% (32,2%), акцизов по подакцизным товарам – 12,8% (12,2%), налога, взимаемого в связи с применением упрощенной системы налогообложения, – 10,0% (8,3%), налога на имущество организаций – 5,7% (5,3%).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 итогам 2024 года по сравнению с 2023 годом увеличились доходы по налогу на доходы физических лиц (на 15 025 963,9 тыс. руб. или на 21,3%),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налогу, взимаемому в связи с применением упрощенной системы налогообложения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(на 7 069 451,9 тыс. руб. или на 38,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8%), по </w:t>
      </w:r>
      <w:r>
        <w:rPr>
          <w:rFonts w:ascii="Times New Roman" w:hAnsi="Times New Roman" w:cs="Times New Roman"/>
          <w:sz w:val="28"/>
          <w:szCs w:val="28"/>
        </w:rPr>
        <w:t xml:space="preserve">акцизам по подакцизным товарам (на 5 632 302,0 тыс. руб. или на 21,0%), по налогу на прибыль организаций (на 4 634 490,4 тыс. руб. или на 5,5%),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налогу на имущество организаций (на 2 860 523,5 тыс. руб. или на 24,7%).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Поступления доходов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огу на добычу полезных ископаемых по итогам 2024 года снизились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2023 годом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1 571 756,8 тыс. руб. или на 51,9%.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0"/>
          <w:lang w:eastAsia="ru-RU"/>
        </w:rPr>
        <w:t xml:space="preserve">Объем межбюджетных трансфертов из федерального бюджета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составил 30 390 053,6 тыс. руб., что на 12 969 837,1 тыс. руб. меньше, ч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ем в 2023 году. Объем субсидий уменьшился на 5 681 031,1 тыс. руб., иных межбюджетных трансфертов</w:t>
      </w:r>
      <w:r>
        <w:rPr>
          <w:rFonts w:ascii="Times New Roman" w:hAnsi="Times New Roman" w:eastAsia="Times New Roman" w:cs="Times New Roman"/>
          <w:i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– на 4 154 823,7 тыс. руб., дотаций – на 3 249 760,7 тыс. руб., объем субвенций увеличился на 115 778,4 тыс. руб.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Доля межбюджетных трансфертов в общем объем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е безвозмездных поступлений составила 91,5%, в том числе: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субсидий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55,9%, дотаций – 13,4%, субвенций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12,9%, иных межбюджетных трансфертов – 9,3%.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Расходы областного бюджета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исполнены в объеме 316</w:t>
      </w:r>
      <w:r>
        <w:rPr>
          <w:rFonts w:ascii="Times New Roman" w:hAnsi="Times New Roman" w:cs="Times New Roman"/>
          <w:sz w:val="28"/>
          <w:szCs w:val="28"/>
        </w:rPr>
        <w:t xml:space="preserve"> 484 284,4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тыс. руб. или 92,4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к плану.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Отклонение от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составило 26 141 418,8 тыс. руб. Темп роста расходов к 2023 году – 108,8% (на 25 519 797,9 тыс. руб. больше).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по сравнению с 2023 годом структура расходов областного бюджета Новосибирской области в р</w:t>
      </w:r>
      <w:r>
        <w:rPr>
          <w:rFonts w:ascii="Times New Roman" w:hAnsi="Times New Roman" w:cs="Times New Roman"/>
          <w:sz w:val="28"/>
          <w:szCs w:val="28"/>
        </w:rPr>
        <w:t xml:space="preserve">азрезе разделов существенно не изменилась. Наибольший объем расходов (61,7%) направлен на решение задач социального значения: по разделам «Социальная политика», «Образование», «Здравоохранение», «Культура и кинематография» прирост составил 12,5% к уровню 2</w:t>
      </w:r>
      <w:r>
        <w:rPr>
          <w:rFonts w:ascii="Times New Roman" w:hAnsi="Times New Roman" w:cs="Times New Roman"/>
          <w:sz w:val="28"/>
          <w:szCs w:val="28"/>
        </w:rPr>
        <w:t xml:space="preserve">023 года. В абсолютном выражении объем расходов в данных сферах – 195 272 813,6 тыс. руб.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областного бюджета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на социальное обеспечение и иные выплаты населению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2024 году составили 49 182 091,8 тыс. руб. или 102,8% годовых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азначений, что на 10,4 процентных пункта выше уровня исполнения расходов в целом по областному бюджету Новосибирской области.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" w:firstLine="709"/>
        <w:jc w:val="both"/>
        <w:spacing w:after="120" w:line="24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По сравнению с 2023 годом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расходы областного бюджета Новосибирской области на социальное обеспечение и иные выплаты населению сни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зились на 94 855,1 тыс. руб. (-0,2%). </w:t>
      </w:r>
      <w:r>
        <w:rPr>
          <w:rFonts w:ascii="Times New Roman" w:hAnsi="Times New Roman" w:eastAsia="Arial" w:cs="Times New Roman"/>
        </w:rPr>
      </w:r>
    </w:p>
    <w:p>
      <w:pPr>
        <w:ind w:firstLine="851"/>
        <w:jc w:val="both"/>
        <w:spacing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Расходы областного бюджета Новосибирской области исполнены в рамках 31 государственной программы Новосибирской области с объемом финансирования 293 829 805,8 тыс. руб. (109,5% к уровню 2023 года). Доля программных мер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оприятий в общем объеме расходов областного бюджета Новосибирской области увеличилась по сравнению с 2023 годом с 92,2% до 92,8%. Расходы непрограммного характера исполнены в объеме 22 654 478,6 тыс. руб. (99,8% к уровню 2023 года).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851"/>
        <w:jc w:val="both"/>
        <w:spacing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Основная доля расходов областного бюджета Новосибирской области приходится на финансирование мероприятий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сти» (21,4%), государственной программы Новосибирской области «Развитие здравоохранения Новосибирской области» (17,6%), государственной программы Новосибирской области «Социальная поддержка в Новосибирской области» (12,9%), государственной программы Новоси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бирской области «Управление финансами в Новосибирской области» (10,3%) 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(8,3%).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твенных программ Новосибирской области за 2024 год составило от 31,4% по государственной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«Комплексное развитие сельских территорий в Новосибирской области» до 99,7% по государственной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«Развити</w:t>
      </w:r>
      <w:r>
        <w:rPr>
          <w:rFonts w:ascii="Times New Roman" w:hAnsi="Times New Roman" w:cs="Times New Roman"/>
          <w:sz w:val="28"/>
          <w:szCs w:val="28"/>
        </w:rPr>
        <w:t xml:space="preserve">е государственной молодежной политики Новосибирской области».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недостаточно высоком уровне сложилось исполнение государственных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«Развитие физической культуры и спорта в Новосибирской области»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78,7%, «Развитие сельского х</w:t>
      </w:r>
      <w:r>
        <w:rPr>
          <w:rFonts w:ascii="Times New Roman" w:hAnsi="Times New Roman" w:cs="Times New Roman"/>
          <w:sz w:val="28"/>
          <w:szCs w:val="28"/>
        </w:rPr>
        <w:t xml:space="preserve">озяйства и регулирование рынков сельскохозяйственной продукции, сырья и продовольствия в Новосибирской области»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78,5%, «Повышение безопасности дорожного движения на автомобильных дорогах и обеспечение безопасности населения на транспорте в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области»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77,4%, «Жилищно-коммунальное хозяйство Новосибирской области»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76,5%, «Развитие системы обращения с отходами производства и потребления в Новосибирской области»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75,0%, «Развитие туризма в Новосибирской области»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– 69,6%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 нерешенн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 проблем в сферах жилищно-коммунального хозяйства, дорожного строительства, здравоохранения, социально-культурной сфере, в первую очередь, в сельских территориях и, как следствие, обращение избирателей к депутатам Законодательного Собрания Новосибирской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области о неудовлетворительном состоянии объектов инфраструктуры, прежде всего, в сфере газификации и обеспечения населения качественной питьевой водой. По итогам 2024 года сложился низкий уровень исполнения расходов по данным направлениям: по проекту «Раз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витие газоснабжения» (0,9%), региональному проекту «Чистая вода» (31,0%),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проекту «Строительство и реконструкция объектов централизованных систем холодного водоснабжения и водоотведения» (44,6%)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программы Новосибирской области «Жилищно-комм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унальное хозяйство Новосибирской области», а также проекту «Современный облик сельских территорий» (26,9%) государственной программы Новосибирской области «Комплексное развитие сельских территорий в Новосибирской области».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Также на низком уровне исполнен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яд мероприятий и направлений расходов областного бюджета Новосибирской области, в том числе таких как: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«Строительство и реконструкция образовательных организаций, реализующих программы общего образования» (71,7%) и «Создание новых мест в общеобразовательн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ых организациях в связи с ростом числа обучающихся, вызванным демографическим фактором (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несофинансируемая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часть расходов и плата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концедента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)» (0,0%) в рамках государственной программы Новосибирской области «Развитие образования, создание условий для социал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изации детей и учащейся молодежи в Новосибирской области»,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«Реализация программ формирования современной городской среды (организация общественных пространств и дворовых территорий многоквартирных домов)» (62,9%) государственной программы Новосибирской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области «Жилищно-коммунальное хозяйство Новосибирской области»,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проект «Спортивная инфраструктура» (45,7%) государственной программы Новосибирской области «Развитие физической культуры и спорта в Новосибирской области»,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«Разработка ПСД на строительство объектов Новосибирского метрополитена (0,0%)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восибирской области»,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региональный проект «Жилье» (0,0%) государственной программы Новосибирской области «Стимулирование развития жилищного строительства в Новосибирской области»,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региональный проект «Комплексная система обращения с твердыми коммунальными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отходами Новосибирской области» (30,1%), «Проектирование и создание инфраструктуры в сфере обращения с твердыми коммунальными отходами» (4,5%) государственной программы Новосибирской области «Развитие системы обращения с отходами производства и потребления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Новосибирской области»,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«Строительство и реконструкция объектов государственной собственности, относящихся к автомобильным дорогам регионального и межмуниципального значения и искусственных сооружений на них» (65,6%) государственной программы Новосибирс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кой области «Развитие автомобильных дорог регионального, межмуниципального и местного значения в Новосибирской области».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851"/>
        <w:jc w:val="both"/>
        <w:spacing w:after="12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Годовые расходы на предоставление межбюджетных трансфертов местным бюджетам муниципальных образований Новосибирской области составили 1</w:t>
      </w:r>
      <w:r>
        <w:rPr>
          <w:rFonts w:ascii="Times New Roman" w:hAnsi="Times New Roman" w:cs="Times New Roman"/>
          <w:sz w:val="28"/>
          <w:szCs w:val="28"/>
        </w:rPr>
        <w:t xml:space="preserve">24 872 169,4 тыс. руб. или 94,1% плановых назначений, что на 7 835 802,5 тыс. руб. меньше объемов, утвержденных на 2024 год законом об областном бюджете.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в рамках государственных программ Новосибирской области и непрограммных направлений расход</w:t>
      </w:r>
      <w:r>
        <w:rPr>
          <w:rFonts w:ascii="Times New Roman" w:hAnsi="Times New Roman" w:cs="Times New Roman"/>
          <w:sz w:val="28"/>
          <w:szCs w:val="28"/>
        </w:rPr>
        <w:t xml:space="preserve">ов предусмотрена и осуществлялась реализация 41 регионального проекта, направленного на достижение стратегических задач по устойчивому социально-экономическому развитию Российской Федерации. Общая </w:t>
      </w:r>
      <w:r>
        <w:rPr>
          <w:rFonts w:ascii="Times New Roman" w:hAnsi="Times New Roman" w:cs="Times New Roman"/>
          <w:sz w:val="28"/>
          <w:szCs w:val="28"/>
        </w:rPr>
        <w:t xml:space="preserve">сумма исполнения региональных проектов в 2024 году составил</w:t>
      </w:r>
      <w:r>
        <w:rPr>
          <w:rFonts w:ascii="Times New Roman" w:hAnsi="Times New Roman" w:cs="Times New Roman"/>
          <w:sz w:val="28"/>
          <w:szCs w:val="28"/>
        </w:rPr>
        <w:t xml:space="preserve">а 28 861 979,1 тыс. руб. (92,9% к уровню 2023 года) или 82,0% годовых назначений.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2024 года в экономику Новосибирской области привлечено 590 589,6 млн руб. инвестиций в основной капитал (в 2023 году – 391 355,5 млн руб.). За 2024 год по сравнению</w:t>
      </w:r>
      <w:r>
        <w:rPr>
          <w:rFonts w:ascii="Times New Roman" w:hAnsi="Times New Roman" w:cs="Times New Roman"/>
          <w:sz w:val="28"/>
          <w:szCs w:val="28"/>
        </w:rPr>
        <w:t xml:space="preserve"> с 2023 годом индекс физического объема инвестиций в основной капитал составил 137,3% (за 2023 год по сравнению с 2022 годом – 104,2%).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капитальные вложения в объекты государственной собственности исполнены в объеме </w:t>
      </w:r>
      <w:r>
        <w:rPr>
          <w:rFonts w:ascii="Times New Roman" w:hAnsi="Times New Roman" w:cs="Times New Roman"/>
          <w:sz w:val="28"/>
          <w:szCs w:val="28"/>
        </w:rPr>
        <w:t xml:space="preserve">13 247 850,7 тыс. руб., в том числе бюджетные инвестиции в объекты капитального строительства (реконструкции) – 10 277 607,1 тыс. руб., что меньше плановых назначений на 5 166 630,2 тыс. руб. и 5 152 816,1 тыс. руб. соответственно (71,9% к плану). Темп рос</w:t>
      </w:r>
      <w:r>
        <w:rPr>
          <w:rFonts w:ascii="Times New Roman" w:hAnsi="Times New Roman" w:cs="Times New Roman"/>
          <w:sz w:val="28"/>
          <w:szCs w:val="28"/>
        </w:rPr>
        <w:t xml:space="preserve">та расходов на капитальные вложения в объекты государственной собственности к 2023 году – 88,5%, удельный вес в расходах бюджета – 4,2% (в 2023 году – 5,1%).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введены в эксплуатацию 28 участков автомобильных дорог и 6 мостов, 10 фельдшерско-акуш</w:t>
      </w:r>
      <w:r>
        <w:rPr>
          <w:rFonts w:ascii="Times New Roman" w:hAnsi="Times New Roman" w:cs="Times New Roman"/>
          <w:sz w:val="28"/>
          <w:szCs w:val="28"/>
        </w:rPr>
        <w:t xml:space="preserve">ерских пунктов, 5 поликлинических отделений и детская поликлиника, 5 школ,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объекта культуры и бассейн в г. Новосибирске</w:t>
      </w:r>
      <w:r>
        <w:rPr>
          <w:rFonts w:ascii="Times New Roman" w:hAnsi="Times New Roman" w:cs="Times New Roman"/>
          <w:sz w:val="28"/>
          <w:szCs w:val="28"/>
        </w:rPr>
        <w:t xml:space="preserve">. Объем незавершенного строительства по областным и муниципальным объектам уменьшился с 51 563,7 до 44 288,9 млн руб.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Областной бюджет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Новосибирской области за 2024 год исполнен с превышением расходов над доходами (дефицитом)</w:t>
      </w:r>
      <w:r>
        <w:rPr>
          <w:rFonts w:ascii="Times New Roman" w:hAnsi="Times New Roman" w:cs="Times New Roman"/>
          <w:sz w:val="28"/>
          <w:szCs w:val="28"/>
        </w:rPr>
        <w:t xml:space="preserve"> в сумме 20 111 408,4 тыс. руб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плановом дефиците в объеме 48 354 281,4 тыс. руб.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государственного долга Новосибирской области на 01.01.2025 составил 84 93</w:t>
      </w:r>
      <w:r>
        <w:rPr>
          <w:rFonts w:ascii="Times New Roman" w:hAnsi="Times New Roman" w:cs="Times New Roman"/>
          <w:sz w:val="28"/>
          <w:szCs w:val="28"/>
        </w:rPr>
        <w:t xml:space="preserve">1 983,0 тыс. руб. или 88,5% к плану, темп роста долга к 2023 году – 124,8%. Объем долга составил 32,3% от объема доходов без учета безвозмездных поступлений (при предельном размере 100,0%). В структуре долга увеличилась доля ценных бумаг (с 43,3% до 55,3%)</w:t>
      </w:r>
      <w:r>
        <w:rPr>
          <w:rFonts w:ascii="Times New Roman" w:hAnsi="Times New Roman" w:cs="Times New Roman"/>
          <w:sz w:val="28"/>
          <w:szCs w:val="28"/>
        </w:rPr>
        <w:t xml:space="preserve"> и уменьшилась доля бюджетных кредитов из федерального бюджета (с 56,7% до 44,7%).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обслуживание государственного внутреннего долга исполнены в объеме 4 036 478,4 тыс. руб. или 93,7% к плану, темп роста расходов к 2023 году – в 4,8 раза.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заклю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чении Контрольно-счетной палаты Новосибирской области по результатам внешней проверки отчета об исполнении областного бюджета Новосибирской области за 2024 год отмечается, что с</w:t>
      </w:r>
      <w:r>
        <w:rPr>
          <w:rFonts w:ascii="Times New Roman" w:hAnsi="Times New Roman" w:cs="Times New Roman"/>
          <w:sz w:val="28"/>
          <w:szCs w:val="28"/>
        </w:rPr>
        <w:t xml:space="preserve">лучаев недостоверности отчета об исполнении областного бюджета Новосибирской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за 2024 год в части сумм кассовых поступлений в бюджет и выплат с единого счета областного бюджета Новосибирской области не установлено.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Закона Новосибирской области от 7 октября 2011 года      № 112-ОЗ «О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в Новосибирской области», Регламента Законодательного Собрания Новосибирской области, экспертного заключения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Новосибирской области, заключения и аналитической записки, подготовленных в аппарате Законодательного Собрания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области, предложений комитетов Законодательного Собрания Новосибирской области и участников публичных слушаний по отчету об исполнении областного бюджета Новосибирской области за 2024 год комитет по бюджетной, финансово-экономической политике и собств</w:t>
      </w:r>
      <w:r>
        <w:rPr>
          <w:rFonts w:ascii="Times New Roman" w:hAnsi="Times New Roman" w:cs="Times New Roman"/>
          <w:sz w:val="28"/>
          <w:szCs w:val="28"/>
        </w:rPr>
        <w:t xml:space="preserve">енности рекомендует внести на рассмотрение 59 сессии Законодательного Собрания Новосибирской области и принять в первом чтении проект закона Новосибирской области «Об исполнении областного бюджета Новосибирской области за 2024 год».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</w:t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9</w:t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 апреля 2025 года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участников заседания комитета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9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Законодательного Собрания Новосибирской области по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9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бюджетной, финансово-экономической политике и собственности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9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Бойкова Наталья Юрьевна – руководитель аппарата уполномоченного по защите прав предпринимателей в Новосибирской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Буянкина Юлия Алексеевна – заместитель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начальника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Варда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Новоси</w:t>
      </w:r>
      <w:r>
        <w:rPr>
          <w:rFonts w:ascii="Times New Roman" w:hAnsi="Times New Roman"/>
          <w:sz w:val="28"/>
          <w:szCs w:val="28"/>
        </w:rPr>
        <w:t xml:space="preserve">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области; 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Гончарова Елена Анатольевна – председатель Контрольно-счетной палаты Новосибир</w:t>
      </w:r>
      <w:r>
        <w:rPr>
          <w:rFonts w:ascii="Times New Roman" w:hAnsi="Times New Roman"/>
          <w:sz w:val="28"/>
          <w:szCs w:val="28"/>
        </w:rPr>
        <w:t xml:space="preserve">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Знатков Владимир Михайлович – первый заместитель Председателя Правительства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Калентьева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Наталья Владимировна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заместитель министра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начальник управления законопроектных работ и ведения регистра министерства юстиции 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Карпов Владимир Яковлевич – заместитель Председателя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Клемешов</w:t>
      </w:r>
      <w:r>
        <w:rPr>
          <w:rFonts w:ascii="Times New Roman" w:hAnsi="Times New Roman"/>
          <w:sz w:val="28"/>
          <w:szCs w:val="28"/>
          <w:highlight w:val="white"/>
        </w:rPr>
        <w:t xml:space="preserve"> Олег Петрович – заместитель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Малина Светлана Сергеевна – заместитель министра образования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Мордина Ольга Александровна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советник  </w:t>
      </w:r>
      <w:r>
        <w:rPr>
          <w:rFonts w:ascii="Times New Roman" w:hAnsi="Times New Roman"/>
          <w:sz w:val="28"/>
          <w:szCs w:val="28"/>
        </w:rPr>
        <w:t xml:space="preserve">департамента</w:t>
      </w:r>
      <w:r>
        <w:rPr>
          <w:rFonts w:ascii="Times New Roman" w:hAnsi="Times New Roman"/>
          <w:sz w:val="28"/>
          <w:szCs w:val="28"/>
        </w:rPr>
        <w:t xml:space="preserve">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Морозов Геннадий Геннадье</w:t>
      </w:r>
      <w:r>
        <w:rPr>
          <w:rFonts w:ascii="Times New Roman" w:hAnsi="Times New Roman"/>
          <w:sz w:val="28"/>
          <w:szCs w:val="28"/>
        </w:rPr>
        <w:t xml:space="preserve">вич – руководитель Управления Федеральной налоговой службы России по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Решетников Лев Николаевич – министр экономического развития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Рягузов</w:t>
      </w:r>
      <w:r>
        <w:rPr>
          <w:rFonts w:ascii="Times New Roman" w:hAnsi="Times New Roman"/>
          <w:sz w:val="28"/>
          <w:szCs w:val="28"/>
        </w:rPr>
        <w:t xml:space="preserve"> Денис Евгеньевич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промышленности, торговли и развития пред</w:t>
      </w:r>
      <w:r>
        <w:rPr>
          <w:rFonts w:ascii="Times New Roman" w:hAnsi="Times New Roman"/>
          <w:sz w:val="28"/>
          <w:szCs w:val="28"/>
        </w:rPr>
        <w:t xml:space="preserve">принимательства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 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Швец Инта Петровна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начальника Контрольного управления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Шилохвостов</w:t>
      </w:r>
      <w:r>
        <w:rPr>
          <w:rFonts w:ascii="Times New Roman" w:hAnsi="Times New Roman"/>
          <w:sz w:val="28"/>
          <w:szCs w:val="28"/>
          <w:highlight w:val="white"/>
        </w:rPr>
        <w:t xml:space="preserve">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90"/>
        <w:numPr>
          <w:ilvl w:val="0"/>
          <w:numId w:val="3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Шимкив</w:t>
      </w:r>
      <w:r>
        <w:rPr>
          <w:rFonts w:ascii="Times New Roman" w:hAnsi="Times New Roman"/>
          <w:sz w:val="28"/>
          <w:szCs w:val="28"/>
        </w:rPr>
        <w:t xml:space="preserve"> Андрей Иванович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 Законодательного Собрания Новосибирской облас</w:t>
      </w:r>
      <w:r>
        <w:rPr>
          <w:rFonts w:ascii="Times New Roman" w:hAnsi="Times New Roman"/>
          <w:sz w:val="28"/>
          <w:szCs w:val="28"/>
        </w:rPr>
        <w:t xml:space="preserve">ти.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9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7" w:bottom="1247" w:left="1134" w:header="709" w:footer="18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17</w:t>
    </w:r>
    <w:r>
      <w:fldChar w:fldCharType="end"/>
    </w:r>
    <w:r/>
  </w:p>
  <w:p>
    <w:pPr>
      <w:pStyle w:val="7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5"/>
  </w:num>
  <w:num w:numId="5">
    <w:abstractNumId w:val="8"/>
  </w:num>
  <w:num w:numId="6">
    <w:abstractNumId w:val="12"/>
  </w:num>
  <w:num w:numId="7">
    <w:abstractNumId w:val="16"/>
  </w:num>
  <w:num w:numId="8">
    <w:abstractNumId w:val="14"/>
  </w:num>
  <w:num w:numId="9">
    <w:abstractNumId w:val="35"/>
  </w:num>
  <w:num w:numId="10">
    <w:abstractNumId w:val="1"/>
  </w:num>
  <w:num w:numId="11">
    <w:abstractNumId w:val="24"/>
  </w:num>
  <w:num w:numId="12">
    <w:abstractNumId w:val="3"/>
  </w:num>
  <w:num w:numId="13">
    <w:abstractNumId w:val="36"/>
  </w:num>
  <w:num w:numId="14">
    <w:abstractNumId w:val="25"/>
  </w:num>
  <w:num w:numId="15">
    <w:abstractNumId w:val="10"/>
  </w:num>
  <w:num w:numId="16">
    <w:abstractNumId w:val="17"/>
  </w:num>
  <w:num w:numId="17">
    <w:abstractNumId w:val="28"/>
  </w:num>
  <w:num w:numId="18">
    <w:abstractNumId w:val="29"/>
  </w:num>
  <w:num w:numId="19">
    <w:abstractNumId w:val="2"/>
  </w:num>
  <w:num w:numId="20">
    <w:abstractNumId w:val="30"/>
  </w:num>
  <w:num w:numId="21">
    <w:abstractNumId w:val="6"/>
  </w:num>
  <w:num w:numId="22">
    <w:abstractNumId w:val="0"/>
  </w:num>
  <w:num w:numId="23">
    <w:abstractNumId w:val="32"/>
  </w:num>
  <w:num w:numId="24">
    <w:abstractNumId w:val="4"/>
  </w:num>
  <w:num w:numId="25">
    <w:abstractNumId w:val="7"/>
  </w:num>
  <w:num w:numId="26">
    <w:abstractNumId w:val="21"/>
  </w:num>
  <w:num w:numId="27">
    <w:abstractNumId w:val="27"/>
  </w:num>
  <w:num w:numId="28">
    <w:abstractNumId w:val="31"/>
  </w:num>
  <w:num w:numId="29">
    <w:abstractNumId w:val="20"/>
  </w:num>
  <w:num w:numId="30">
    <w:abstractNumId w:val="19"/>
  </w:num>
  <w:num w:numId="31">
    <w:abstractNumId w:val="13"/>
  </w:num>
  <w:num w:numId="32">
    <w:abstractNumId w:val="34"/>
  </w:num>
  <w:num w:numId="33">
    <w:abstractNumId w:val="33"/>
  </w:num>
  <w:num w:numId="34">
    <w:abstractNumId w:val="23"/>
  </w:num>
  <w:num w:numId="35">
    <w:abstractNumId w:val="11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</w:style>
  <w:style w:type="paragraph" w:styleId="752">
    <w:name w:val="Heading 1"/>
    <w:basedOn w:val="751"/>
    <w:next w:val="751"/>
    <w:link w:val="781"/>
    <w:pPr>
      <w:jc w:val="center"/>
      <w:keepNext/>
      <w:spacing w:after="0" w:line="240" w:lineRule="auto"/>
      <w:outlineLvl w:val="0"/>
    </w:pPr>
    <w:rPr>
      <w:b/>
      <w:sz w:val="28"/>
      <w:szCs w:val="28"/>
    </w:rPr>
  </w:style>
  <w:style w:type="paragraph" w:styleId="753">
    <w:name w:val="Heading 2"/>
    <w:basedOn w:val="751"/>
    <w:next w:val="751"/>
    <w:link w:val="782"/>
    <w:pPr>
      <w:jc w:val="center"/>
      <w:keepNext/>
      <w:spacing w:after="0" w:line="240" w:lineRule="auto"/>
      <w:shd w:val="clear" w:color="auto" w:fill="ffffff"/>
      <w:outlineLvl w:val="1"/>
    </w:pPr>
    <w:rPr>
      <w:b/>
      <w:color w:val="000000"/>
      <w:sz w:val="26"/>
      <w:szCs w:val="26"/>
    </w:rPr>
  </w:style>
  <w:style w:type="paragraph" w:styleId="754">
    <w:name w:val="Heading 3"/>
    <w:basedOn w:val="751"/>
    <w:next w:val="751"/>
    <w:link w:val="783"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751"/>
    <w:next w:val="751"/>
    <w:link w:val="784"/>
    <w:pPr>
      <w:keepLines/>
      <w:keepNext/>
      <w:spacing w:before="320"/>
      <w:outlineLvl w:val="3"/>
    </w:pPr>
    <w:rPr>
      <w:rFonts w:ascii="Arial" w:hAnsi="Arial" w:eastAsia="Arial" w:cs="Arial"/>
      <w:b/>
      <w:sz w:val="26"/>
      <w:szCs w:val="26"/>
    </w:rPr>
  </w:style>
  <w:style w:type="paragraph" w:styleId="756">
    <w:name w:val="Heading 5"/>
    <w:basedOn w:val="751"/>
    <w:next w:val="751"/>
    <w:link w:val="785"/>
    <w:pPr>
      <w:keepLines/>
      <w:keepNext/>
      <w:spacing w:before="320"/>
      <w:outlineLvl w:val="4"/>
    </w:pPr>
    <w:rPr>
      <w:rFonts w:ascii="Arial" w:hAnsi="Arial" w:eastAsia="Arial" w:cs="Arial"/>
      <w:b/>
      <w:sz w:val="24"/>
      <w:szCs w:val="24"/>
    </w:rPr>
  </w:style>
  <w:style w:type="paragraph" w:styleId="757">
    <w:name w:val="Heading 6"/>
    <w:basedOn w:val="751"/>
    <w:next w:val="751"/>
    <w:link w:val="786"/>
    <w:pPr>
      <w:keepLines/>
      <w:keepNext/>
      <w:spacing w:before="320"/>
      <w:outlineLvl w:val="5"/>
    </w:pPr>
    <w:rPr>
      <w:rFonts w:ascii="Arial" w:hAnsi="Arial" w:eastAsia="Arial" w:cs="Arial"/>
      <w:b/>
    </w:rPr>
  </w:style>
  <w:style w:type="paragraph" w:styleId="758">
    <w:name w:val="Heading 7"/>
    <w:basedOn w:val="751"/>
    <w:next w:val="751"/>
    <w:link w:val="78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61"/>
    <w:uiPriority w:val="10"/>
    <w:rPr>
      <w:sz w:val="48"/>
      <w:szCs w:val="48"/>
    </w:rPr>
  </w:style>
  <w:style w:type="character" w:styleId="774" w:customStyle="1">
    <w:name w:val="Subtitle Char"/>
    <w:basedOn w:val="761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Header Char"/>
    <w:basedOn w:val="761"/>
    <w:uiPriority w:val="99"/>
  </w:style>
  <w:style w:type="character" w:styleId="778" w:customStyle="1">
    <w:name w:val="Caption Char"/>
    <w:uiPriority w:val="99"/>
  </w:style>
  <w:style w:type="character" w:styleId="779" w:customStyle="1">
    <w:name w:val="Footnote Text Char"/>
    <w:uiPriority w:val="99"/>
    <w:rPr>
      <w:sz w:val="18"/>
    </w:rPr>
  </w:style>
  <w:style w:type="character" w:styleId="780" w:customStyle="1">
    <w:name w:val="Endnote Text Char"/>
    <w:uiPriority w:val="99"/>
    <w:rPr>
      <w:sz w:val="20"/>
    </w:rPr>
  </w:style>
  <w:style w:type="character" w:styleId="781" w:customStyle="1">
    <w:name w:val="Заголовок 1 Знак"/>
    <w:link w:val="752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link w:val="753"/>
    <w:uiPriority w:val="9"/>
    <w:rPr>
      <w:rFonts w:ascii="Arial" w:hAnsi="Arial" w:eastAsia="Arial" w:cs="Arial"/>
      <w:sz w:val="34"/>
    </w:rPr>
  </w:style>
  <w:style w:type="character" w:styleId="783" w:customStyle="1">
    <w:name w:val="Заголовок 3 Знак"/>
    <w:link w:val="754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51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after="0" w:line="240" w:lineRule="auto"/>
    </w:pPr>
  </w:style>
  <w:style w:type="character" w:styleId="792" w:customStyle="1">
    <w:name w:val="Заголовок Знак"/>
    <w:link w:val="949"/>
    <w:uiPriority w:val="10"/>
    <w:rPr>
      <w:sz w:val="48"/>
      <w:szCs w:val="48"/>
    </w:rPr>
  </w:style>
  <w:style w:type="character" w:styleId="793" w:customStyle="1">
    <w:name w:val="Подзаголовок Знак"/>
    <w:link w:val="950"/>
    <w:uiPriority w:val="11"/>
    <w:rPr>
      <w:sz w:val="24"/>
      <w:szCs w:val="24"/>
    </w:rPr>
  </w:style>
  <w:style w:type="paragraph" w:styleId="794">
    <w:name w:val="Quote"/>
    <w:basedOn w:val="751"/>
    <w:next w:val="751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51"/>
    <w:next w:val="751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paragraph" w:styleId="798">
    <w:name w:val="Header"/>
    <w:basedOn w:val="751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 w:customStyle="1">
    <w:name w:val="Верхний колонтитул Знак"/>
    <w:link w:val="798"/>
    <w:uiPriority w:val="99"/>
  </w:style>
  <w:style w:type="paragraph" w:styleId="800">
    <w:name w:val="Footer"/>
    <w:basedOn w:val="751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 w:customStyle="1">
    <w:name w:val="Footer Char"/>
    <w:uiPriority w:val="99"/>
  </w:style>
  <w:style w:type="paragraph" w:styleId="802">
    <w:name w:val="Caption"/>
    <w:basedOn w:val="751"/>
    <w:next w:val="75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3" w:customStyle="1">
    <w:name w:val="Нижний колонтитул Знак"/>
    <w:link w:val="800"/>
    <w:uiPriority w:val="99"/>
  </w:style>
  <w:style w:type="table" w:styleId="804">
    <w:name w:val="Table Grid"/>
    <w:basedOn w:val="7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5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6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3"/>
    <w:basedOn w:val="762"/>
    <w:link w:val="9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751"/>
    <w:link w:val="932"/>
    <w:uiPriority w:val="99"/>
    <w:semiHidden/>
    <w:unhideWhenUsed/>
    <w:pPr>
      <w:spacing w:after="40" w:line="240" w:lineRule="auto"/>
    </w:pPr>
    <w:rPr>
      <w:sz w:val="18"/>
    </w:rPr>
  </w:style>
  <w:style w:type="character" w:styleId="932" w:customStyle="1">
    <w:name w:val="Текст сноски Знак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751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935" w:customStyle="1">
    <w:name w:val="Текст концевой сноски Знак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751"/>
    <w:next w:val="751"/>
    <w:uiPriority w:val="39"/>
    <w:unhideWhenUsed/>
    <w:pPr>
      <w:spacing w:after="57"/>
    </w:pPr>
  </w:style>
  <w:style w:type="paragraph" w:styleId="938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9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40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41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42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43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44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45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751"/>
    <w:next w:val="751"/>
    <w:uiPriority w:val="99"/>
    <w:unhideWhenUsed/>
    <w:pPr>
      <w:spacing w:after="0"/>
    </w:pPr>
  </w:style>
  <w:style w:type="table" w:styleId="94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49">
    <w:name w:val="Title"/>
    <w:basedOn w:val="751"/>
    <w:next w:val="751"/>
    <w:link w:val="792"/>
    <w:pPr>
      <w:spacing w:before="300"/>
    </w:pPr>
    <w:rPr>
      <w:sz w:val="48"/>
      <w:szCs w:val="48"/>
    </w:rPr>
  </w:style>
  <w:style w:type="paragraph" w:styleId="950">
    <w:name w:val="Subtitle"/>
    <w:basedOn w:val="751"/>
    <w:next w:val="751"/>
    <w:link w:val="793"/>
    <w:pPr>
      <w:spacing w:before="200"/>
    </w:pPr>
    <w:rPr>
      <w:sz w:val="24"/>
      <w:szCs w:val="24"/>
    </w:rPr>
  </w:style>
  <w:style w:type="table" w:styleId="951" w:customStyle="1">
    <w:name w:val="StGen0"/>
    <w:basedOn w:val="94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52" w:customStyle="1">
    <w:name w:val="StGen1"/>
    <w:basedOn w:val="94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53" w:customStyle="1">
    <w:name w:val="StGen2"/>
    <w:basedOn w:val="94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54" w:customStyle="1">
    <w:name w:val="Основной текст (8)"/>
    <w:pPr>
      <w:jc w:val="center"/>
      <w:spacing w:after="300" w:line="32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pacing w:val="3"/>
      <w:sz w:val="25"/>
      <w:szCs w:val="25"/>
      <w:lang w:eastAsia="ru-RU"/>
    </w:rPr>
  </w:style>
  <w:style w:type="character" w:styleId="955" w:customStyle="1">
    <w:name w:val="Основной текст (15)_"/>
    <w:rPr>
      <w:spacing w:val="3"/>
      <w:shd w:val="clear" w:color="auto" w:fill="ffffff"/>
    </w:rPr>
  </w:style>
  <w:style w:type="character" w:styleId="956" w:customStyle="1">
    <w:name w:val="fontstyle0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styleId="957" w:customStyle="1">
    <w:name w:val="ConsPlusNonformat"/>
    <w:uiPriority w:val="9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58">
    <w:name w:val="Strong"/>
    <w:uiPriority w:val="22"/>
    <w:qFormat/>
    <w:rPr>
      <w:b/>
      <w:bCs/>
    </w:rPr>
  </w:style>
  <w:style w:type="character" w:styleId="959" w:customStyle="1">
    <w:name w:val="Основной текст (18)_"/>
    <w:link w:val="960"/>
    <w:rPr>
      <w:spacing w:val="7"/>
      <w:shd w:val="clear" w:color="auto" w:fill="ffffff"/>
    </w:rPr>
  </w:style>
  <w:style w:type="paragraph" w:styleId="960" w:customStyle="1">
    <w:name w:val="Основной текст (18)"/>
    <w:basedOn w:val="751"/>
    <w:link w:val="959"/>
    <w:pPr>
      <w:spacing w:before="60" w:after="240" w:line="326" w:lineRule="exact"/>
      <w:shd w:val="clear" w:color="auto" w:fill="ffffff"/>
      <w:widowControl w:val="off"/>
    </w:pPr>
    <w:rPr>
      <w:spacing w:val="7"/>
    </w:rPr>
  </w:style>
  <w:style w:type="paragraph" w:styleId="961" w:customStyle="1">
    <w:name w:val="Основной текст с отступом1"/>
    <w:link w:val="856"/>
    <w:pPr>
      <w:ind w:firstLine="60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mailto:k_budg@zsnso.ru" TargetMode="External"/><Relationship Id="rId12" Type="http://schemas.openxmlformats.org/officeDocument/2006/relationships/hyperlink" Target="https://old.nso.ru/php/sovetprav_files/files/zakon%2886%29.docx" TargetMode="External"/><Relationship Id="rId13" Type="http://schemas.openxmlformats.org/officeDocument/2006/relationships/hyperlink" Target="https://login.consultant.ru/link/?req=doc&amp;base=LAW&amp;n=358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58</cp:revision>
  <dcterms:created xsi:type="dcterms:W3CDTF">2024-12-18T05:15:00Z</dcterms:created>
  <dcterms:modified xsi:type="dcterms:W3CDTF">2025-06-27T07:13:30Z</dcterms:modified>
</cp:coreProperties>
</file>