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2540</wp:posOffset>
                </wp:positionV>
                <wp:extent cx="552450" cy="657225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6.05pt;mso-position-horizontal:absolute;mso-position-vertical-relative:text;margin-top:0.20pt;mso-position-vertical:absolute;width:43.50pt;height:51.75pt;mso-wrap-distance-left:9.00pt;mso-wrap-distance-top:0.00pt;mso-wrap-distance-right:9.00pt;mso-wrap-distance-bottom:0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</w:r>
      <w:r>
        <w:rPr>
          <w:rFonts w:ascii="Times New Roman" w:hAnsi="Times New Roman" w:eastAsia="Times New Roman" w:cs="Times New Roman"/>
          <w:sz w:val="30"/>
          <w:szCs w:val="30"/>
        </w:rPr>
      </w:r>
      <w:r>
        <w:rPr>
          <w:rFonts w:ascii="Times New Roman" w:hAnsi="Times New Roman" w:eastAsia="Times New Roman" w:cs="Times New Roman"/>
          <w:sz w:val="30"/>
          <w:szCs w:val="30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  <w:t xml:space="preserve">ПО БЮДЖЕТНОЙ, ФИНАНСОВО-ЭКОНОМИЧЕСКОЙ  ПОЛИТИКЕ И СОБСТВЕННОСТИ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74"/>
        <w:tblW w:w="104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val="en-US"/>
        </w:rPr>
      </w:pPr>
      <w:r>
        <w:rPr>
          <w:sz w:val="30"/>
          <w:szCs w:val="3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17146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flip:y;visibility:visible;" from="1.4pt,1.3pt" to="514.4pt,1.4pt" filled="f" strokecolor="#000000" strokeweight="1.50pt"/>
            </w:pict>
          </mc:Fallback>
        </mc:AlternateContent>
      </w:r>
      <w:r>
        <w:rPr>
          <w:rFonts w:ascii="Times New Roman" w:hAnsi="Times New Roman" w:eastAsia="Times New Roman" w:cs="Times New Roman"/>
          <w:sz w:val="30"/>
          <w:szCs w:val="30"/>
          <w:lang w:val="en-US"/>
        </w:rPr>
      </w:r>
      <w:r>
        <w:rPr>
          <w:rFonts w:ascii="Times New Roman" w:hAnsi="Times New Roman" w:eastAsia="Times New Roman" w:cs="Times New Roman"/>
          <w:sz w:val="30"/>
          <w:szCs w:val="30"/>
          <w:lang w:val="en-US"/>
        </w:rPr>
      </w:r>
    </w:p>
    <w:p>
      <w:pPr>
        <w:ind w:right="22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екабря 2024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         ул.Кирова,3 малый зал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693"/>
        <w:shd w:val="clear" w:color="auto" w:fill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ПРОТОКОЛ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заседания комитета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tbl>
      <w:tblPr>
        <w:tblStyle w:val="875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3"/>
        <w:gridCol w:w="962"/>
        <w:gridCol w:w="48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Председатель комитета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Диденко Ирина Валериевна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Заместители председателя комитета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Кальченко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Червов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Валерий Дмитриевич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Члены комитета: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Гайдук Сергей Александрович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Карасева Дарья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Отсутствовали: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Кулинич Александр Андреевич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Николаев Федор Анатольевич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Референты, советник комитета: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Ионова Екатерина Васильевна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Притуленко Ольга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Орленко Наталья Николаевна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8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  <w:t xml:space="preserve">Приглашенные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участников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(список прилагается)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 О повестке дня и порядке работы заседания комитета.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right="142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Диденко Ирина Валериевна</w:t>
      </w:r>
      <w:r>
        <w:rPr>
          <w:rFonts w:ascii="Times New Roman" w:hAnsi="Times New Roman"/>
          <w:sz w:val="28"/>
          <w:szCs w:val="28"/>
        </w:rPr>
        <w:t xml:space="preserve"> – заместитель Председателя Законодательного Собрания Новосибирской области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 Принять за основу предложенную повестку заседания комитета.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14"/>
        <w:ind w:firstLine="708"/>
        <w:jc w:val="both"/>
        <w:shd w:val="clear" w:color="ffffff" w:themeColor="background1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 Внести в повестку заседания дополнительный вопрос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проекте федерального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кона № 782260-8 «О внесении изменений в часть первую Налогового кодекса Российской Федерации и статьи 12 и 30 Федерального закона «Об исполнительном производстве» (о внесудебном порядке взыскания задолженности по уплате налогов, сборов, страховых взносов).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Утвердить повестку и порядок работы заседания комитета в целом.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ГОЛОСОВАНИЕ: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-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«Об областном бюджете Новосибирской области на 2025 год и плановый период 2026 и 2027 годов», третье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Голубенко В.Ю.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30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 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«Об областном бюджете Новосибирской области на 2025 год и плановый период 2026 и 2027 годов» и рекомендовать его к принятию в третьем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3. 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</w:t>
      </w:r>
      <w:r>
        <w:rPr>
          <w:rFonts w:ascii="Times New Roman" w:hAnsi="Times New Roman"/>
          <w:b/>
          <w:sz w:val="28"/>
          <w:szCs w:val="28"/>
        </w:rPr>
        <w:t xml:space="preserve">бирской области «О внесении изменений в статьи 1 и 2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второе чтение.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Кальченко</w:t>
      </w:r>
      <w:r>
        <w:rPr>
          <w:rFonts w:ascii="Times New Roman" w:hAnsi="Times New Roman"/>
          <w:sz w:val="28"/>
          <w:szCs w:val="28"/>
        </w:rPr>
        <w:t xml:space="preserve"> Сергей Владимирович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проект закона Новосибирской области «</w:t>
      </w:r>
      <w:r>
        <w:rPr>
          <w:rFonts w:ascii="Times New Roman" w:hAnsi="Times New Roman"/>
          <w:sz w:val="28"/>
          <w:szCs w:val="28"/>
        </w:rPr>
        <w:t xml:space="preserve">О внесении изменений в статьи 1 и 2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к принятию во втором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«За»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right="225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4. </w:t>
      </w:r>
      <w:r>
        <w:rPr>
          <w:rFonts w:ascii="Times New Roman" w:hAnsi="Times New Roman"/>
          <w:b/>
          <w:sz w:val="28"/>
          <w:szCs w:val="28"/>
        </w:rPr>
        <w:t xml:space="preserve">О проекте закона Новосибирской области «Об утверждении заключения Соглашения о торгово-экономическом, научно-техническом, социальном и культурном сотрудничестве между Новосибирской областью и Херсонской областью», второе чтение.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Франчук Дмитрий Вадимович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 пр</w:t>
      </w:r>
      <w:r>
        <w:rPr>
          <w:rFonts w:ascii="Times New Roman" w:hAnsi="Times New Roman" w:cs="Times New Roman"/>
          <w:sz w:val="28"/>
          <w:szCs w:val="28"/>
        </w:rPr>
        <w:t xml:space="preserve">оект закона Новосибирской области «Об утверждении заключения Соглашения о торгово-экономическом, научно-техническом, социальном и культурном сотрудничестве между Новосибирской областью и Херсонской областью» и рекомендовать его к принятию во втором чтении.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5. </w:t>
      </w:r>
      <w:r>
        <w:rPr>
          <w:rFonts w:ascii="Times New Roman" w:hAnsi="Times New Roman"/>
          <w:b/>
          <w:sz w:val="28"/>
          <w:szCs w:val="28"/>
        </w:rPr>
        <w:t xml:space="preserve">О согласовании передачи областного имущества в безвозмездное пользование: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7"/>
        <w:ind w:left="20" w:right="20" w:firstLine="700"/>
        <w:jc w:val="both"/>
        <w:spacing w:after="0" w:line="322" w:lineRule="exact"/>
        <w:shd w:val="clear" w:color="auto" w:fill="auto"/>
        <w:rPr>
          <w:rFonts w:ascii="Times New Roman" w:hAnsi="Times New Roman"/>
          <w:b/>
          <w:spacing w:val="0"/>
          <w:sz w:val="28"/>
          <w:szCs w:val="28"/>
        </w:rPr>
      </w:pPr>
      <w:r>
        <w:rPr>
          <w:rFonts w:ascii="Times New Roman" w:hAnsi="Times New Roman"/>
          <w:b/>
          <w:spacing w:val="0"/>
          <w:sz w:val="28"/>
          <w:szCs w:val="28"/>
        </w:rPr>
        <w:t xml:space="preserve">- региональному отделению Общероссийского Общественного благотворительного фонда «Российский детский фонд» в части имущества, расположенного по адресу: г. Новосибирск, пр. Строителей, д. 21;</w:t>
      </w:r>
      <w:r>
        <w:rPr>
          <w:rFonts w:ascii="Times New Roman" w:hAnsi="Times New Roman"/>
          <w:b/>
          <w:spacing w:val="0"/>
          <w:sz w:val="28"/>
          <w:szCs w:val="28"/>
        </w:rPr>
      </w:r>
      <w:r>
        <w:rPr>
          <w:rFonts w:ascii="Times New Roman" w:hAnsi="Times New Roman"/>
          <w:b/>
          <w:spacing w:val="0"/>
          <w:sz w:val="28"/>
          <w:szCs w:val="28"/>
        </w:rPr>
      </w:r>
    </w:p>
    <w:p>
      <w:pPr>
        <w:pStyle w:val="877"/>
        <w:ind w:left="20" w:right="20" w:firstLine="700"/>
        <w:jc w:val="both"/>
        <w:spacing w:after="0" w:line="322" w:lineRule="exact"/>
        <w:shd w:val="clear" w:color="auto" w:fill="auto"/>
        <w:rPr>
          <w:rFonts w:ascii="Times New Roman" w:hAnsi="Times New Roman"/>
          <w:b/>
          <w:spacing w:val="0"/>
          <w:sz w:val="28"/>
          <w:szCs w:val="28"/>
        </w:rPr>
      </w:pPr>
      <w:r>
        <w:rPr>
          <w:rFonts w:ascii="Times New Roman" w:hAnsi="Times New Roman"/>
          <w:b/>
          <w:spacing w:val="0"/>
          <w:sz w:val="28"/>
          <w:szCs w:val="28"/>
        </w:rPr>
        <w:t xml:space="preserve">- региональной сети представительств автономной некоммерческой организации «Центр изучения и сетевого мониторинга молодежной среды» в части имущества, расположенного по адресу: г. Новосибирск, ул. Обская, 141.</w:t>
      </w:r>
      <w:r>
        <w:rPr>
          <w:rFonts w:ascii="Times New Roman" w:hAnsi="Times New Roman"/>
          <w:b/>
          <w:spacing w:val="0"/>
          <w:sz w:val="28"/>
          <w:szCs w:val="28"/>
        </w:rPr>
      </w:r>
      <w:r>
        <w:rPr>
          <w:rFonts w:ascii="Times New Roman" w:hAnsi="Times New Roman"/>
          <w:b/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Федорчук</w:t>
      </w:r>
      <w:r>
        <w:rPr>
          <w:rFonts w:ascii="Times New Roman" w:hAnsi="Times New Roman"/>
          <w:sz w:val="28"/>
          <w:szCs w:val="28"/>
        </w:rPr>
        <w:t xml:space="preserve"> Сергей Владимирович – руководитель департамента молодежной политики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Франчук Д.В., Федорчук С.В., Диденко И.В.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Принять к сведению информацию </w:t>
      </w:r>
      <w:r>
        <w:rPr>
          <w:rFonts w:ascii="Times New Roman" w:hAnsi="Times New Roman"/>
          <w:sz w:val="28"/>
          <w:szCs w:val="28"/>
        </w:rPr>
        <w:t xml:space="preserve">Федорчука</w:t>
      </w:r>
      <w:r>
        <w:rPr>
          <w:rFonts w:ascii="Times New Roman" w:hAnsi="Times New Roman"/>
          <w:sz w:val="28"/>
          <w:szCs w:val="28"/>
        </w:rPr>
        <w:t xml:space="preserve"> С.В. – руководителя департамента молодежной политики Новосибирской области о передаче областного имущества в безвозмездное пользование.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С учётом положительного решения комитета Законодательного Собрания Новосиб</w:t>
      </w:r>
      <w:r>
        <w:rPr>
          <w:rFonts w:ascii="Times New Roman" w:hAnsi="Times New Roman"/>
          <w:sz w:val="28"/>
          <w:szCs w:val="28"/>
        </w:rPr>
        <w:t xml:space="preserve">ирской области по культуре, образованию, науке, спорту и молодежной политике согласиться с передачей в безвозмездное пользование нежилого помещения 8,8 кв. м., расположенного по адресу: г. Новосибирск, пр. Строителей, д. 21, находящегося на праве оперативн</w:t>
      </w:r>
      <w:r>
        <w:rPr>
          <w:rFonts w:ascii="Times New Roman" w:hAnsi="Times New Roman"/>
          <w:sz w:val="28"/>
          <w:szCs w:val="28"/>
        </w:rPr>
        <w:t xml:space="preserve">ого управления ГБУ НСО «Агентство поддержки молодежных инициатив», региональному отделению общероссийского общественного благотворительного фонда «Российский детский фонд» в целях размещения офиса и осуществления уставной деятельности сроком на 11 месяцев.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С учётом положительного решения комитета Законодательного Собрания Новосибирской области по культуре,</w:t>
      </w:r>
      <w:r>
        <w:rPr>
          <w:rFonts w:ascii="Times New Roman" w:hAnsi="Times New Roman"/>
          <w:sz w:val="28"/>
          <w:szCs w:val="28"/>
        </w:rPr>
        <w:t xml:space="preserve"> образованию, науке, спорту и молодежной политике согласиться с передачей в безвозмездное пользование нежилого помещения 39,2 кв. м., расположенного по адресу: г. Новосибирск, ул. Обская, д. 141, находящегося на праве оперативного управления ГБУ НСО «Агент</w:t>
      </w:r>
      <w:r>
        <w:rPr>
          <w:rFonts w:ascii="Times New Roman" w:hAnsi="Times New Roman"/>
          <w:sz w:val="28"/>
          <w:szCs w:val="28"/>
        </w:rPr>
        <w:t xml:space="preserve">ство поддержки молодежных инициатив», региональному представительству в Новосибирской области автономной некоммерческой организации «Центр изучения и сетевого мониторинга молодежной среды» в целях осуществления уставной деятельности на неопределенный срок.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6. </w:t>
      </w:r>
      <w:r>
        <w:rPr>
          <w:rFonts w:ascii="Times New Roman" w:hAnsi="Times New Roman"/>
          <w:b/>
          <w:sz w:val="28"/>
          <w:szCs w:val="28"/>
        </w:rPr>
        <w:t xml:space="preserve">О проекте плана работы комитета по бюджетной, финансово-экономической политике и собственности на 2025 год.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Кальченко</w:t>
      </w:r>
      <w:r>
        <w:rPr>
          <w:rFonts w:ascii="Times New Roman" w:hAnsi="Times New Roman"/>
          <w:sz w:val="28"/>
          <w:szCs w:val="28"/>
        </w:rPr>
        <w:t xml:space="preserve"> Сергей Владимирович – заместитель председателя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комитета по бюджетной, финансово-экономической политике и собственности на 2025 год согласно приложению.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1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7. 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Дополнительный вопрос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14"/>
        <w:ind w:firstLine="708"/>
        <w:jc w:val="both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проекте федерального закона № 782260-8 «О внесении изменений в часть первую Налогового кодекса Российской Федерации и статьи 12 и 30 Федерального закона «Об исполнительном производстве» (о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внесудебном порядке взыскания задолженности по уплате налогов, сборов, страховых взносов).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Диденко Ирина Валериевна – заместитель Председателя Законодательного Собрания Новосибирской области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ВОПРОСЫ, ВЫСТУПЛЕНИЯ: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Морозов Г.Г.. Голубенко В.Ю.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РЕШИЛИ: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r>
    </w:p>
    <w:p>
      <w:pPr>
        <w:pStyle w:val="7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Поддержать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 федерального закона № 782260-8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 внесении изменений в часть первую Налогового кодекса Российской Федерации и статьи 12 и 30 Федерального закона «Об исполнительном производстве» (о внесудебном порядке взыскания задолженности по уплате налогов, сборов, страховых взносов) с учетом мнения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(обращение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12 декабря 2024 году № 4714/1)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положительного отзыва Губернатора Новосибирской области на данный законопроект.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сессии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проекте федерального закона» </w:t>
      </w:r>
      <w:r>
        <w:rPr>
          <w:rFonts w:ascii="Times New Roman" w:hAnsi="Times New Roman" w:cs="Times New Roman"/>
          <w:sz w:val="28"/>
          <w:szCs w:val="28"/>
        </w:rPr>
        <w:t xml:space="preserve">и рекомендовать его поддержать.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2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ГОЛОСОВАЛИ: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«За» – единогласно.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  <w:tab/>
        <w:tab/>
        <w:tab/>
        <w:tab/>
        <w:tab/>
        <w:tab/>
        <w:tab/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И.В. Диденко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№ 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декабря 2024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9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3"/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93"/>
        <w:ind w:firstLin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 Л А 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комитета по бюджетной, финансово-экономической политике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собственности на 2025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036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459"/>
        <w:gridCol w:w="39"/>
        <w:gridCol w:w="70"/>
        <w:gridCol w:w="4110"/>
        <w:gridCol w:w="113"/>
        <w:gridCol w:w="76"/>
        <w:gridCol w:w="66"/>
        <w:gridCol w:w="1872"/>
        <w:gridCol w:w="1496"/>
        <w:gridCol w:w="359"/>
        <w:gridCol w:w="326"/>
        <w:gridCol w:w="1375"/>
      </w:tblGrid>
      <w:tr>
        <w:tblPrEx/>
        <w:trPr>
          <w:cantSplit/>
          <w:trHeight w:val="240"/>
        </w:trPr>
        <w:tc>
          <w:tcPr>
            <w:shd w:val="clear" w:color="ffffff" w:fill="ffffff" w:themeFill="background1"/>
            <w:tcW w:w="4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3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Содержание работы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gridSpan w:val="6"/>
            <w:shd w:val="clear" w:color="ffffff" w:fill="ffffff" w:themeFill="background1"/>
            <w:tcW w:w="41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Ответственный за исполнение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Срок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исполнения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shd w:val="clear" w:color="ffffff" w:fill="ffffff" w:themeFill="background1"/>
            <w:tcW w:w="4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 w:themeFill="background1"/>
            <w:tcW w:w="43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W w:w="2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Субъект права законодательной инициативы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 комитета, аппарата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12"/>
            <w:shd w:val="clear" w:color="ffffff" w:fill="ffffff" w:themeFill="background1"/>
            <w:tcW w:w="10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Законотворческая и нормотворческая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r>
          </w:p>
        </w:tc>
      </w:tr>
      <w:tr>
        <w:tblPrEx/>
        <w:trPr>
          <w:trHeight w:val="842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Об 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недвижимого имущества на территории Новосибирской области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Прокурор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Кальченко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 С.В.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842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исполнении областного бюджета Новосибирской области за 2024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lang w:val="ru-RU"/>
              </w:rPr>
              <w:t xml:space="preserve">Диденко И.В.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рабочая группа комитета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II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335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 внесении изменений в приложения 1 и 2 к Закону Новосибирской области «О налогах и особенностях налогообложения отдельных категорий налогоплательщиков в Новосибирской области»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Кальченко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 С.В.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Ш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335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областном бюджете Новосибирской области на 2026 год и плановый период 2027 и 2028 годов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pStyle w:val="714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Диденко И.В.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597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Законодательного Собрания Новосибирской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 перечне объектов, право собственности, на которые принадлежит или будет принадлежать Новосибирской области, в отношении которых планируется заключение концессионных соглашений»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(министерство экономического развития НСО)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Диденко И.В.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597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Законодательного Собрания Новосибирской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отчете о результатах приватизации государственного имущества Новосибирской области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имуществ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и земельных отношений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Франчук Д.В.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407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Законодательного Собрания Новосибирской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 годовом отчете, о деятельности Контрольно-счетной палаты Новосибирской области за 2024 год»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Контрольно-счетная палата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Комитет, 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департамент по социально-экономическим вопросам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II 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399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Законодательного Собрания Новосибирской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 отчете, об управлении и распоряжении государственной собственностью Новосибирской области за 2024 год»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(ДИЗО НСО)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Франчук Д.В.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61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Законодательного Собрания Новосибирской области «Отчет о ходе исполнения плана мероприятий по реализации Стратегии социально-экономического развития Новосибирской области до 2030 года за 2024 год»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(министерство экономического развития НСО)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Кальченко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 С.В.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61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43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Законодательного Собрания Новосибирской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Законодательного Собрания Новосибирской области «О прогнозном плане приватизации государственного имущества Новосибирской области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8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567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(ДИЗО НСО)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181" w:type="dxa"/>
            <w:textDirection w:val="lrTb"/>
            <w:noWrap w:val="false"/>
          </w:tcPr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Франчук Д.В.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</w:r>
          </w:p>
          <w:p>
            <w:pPr>
              <w:pStyle w:val="694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lang w:val="ru-RU"/>
              </w:rPr>
              <w:t xml:space="preserve">рабочая группа комитета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r>
          </w:p>
        </w:tc>
        <w:tc>
          <w:tcPr>
            <w:shd w:val="clear" w:color="ffffff" w:fill="ffffff" w:themeFill="background1"/>
            <w:tcW w:w="13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12"/>
            <w:shd w:val="clear" w:color="ffffff" w:fill="ffffff" w:themeFill="background1"/>
            <w:tcBorders>
              <w:bottom w:val="none" w:color="000000" w:sz="4" w:space="0"/>
            </w:tcBorders>
            <w:tcW w:w="10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. Контрольно-аналитическая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12"/>
            <w:shd w:val="clear" w:color="ffffff" w:fill="ffffff" w:themeFill="background1"/>
            <w:tcBorders>
              <w:top w:val="none" w:color="000000" w:sz="4" w:space="0"/>
            </w:tcBorders>
            <w:tcW w:w="10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Содержание мероприятий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Ответственный за исполнение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исполнения областного бюджета за 2024 год, за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полугодие, 9 месяцев 2025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по социально-экономическим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месяца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 отчета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Анализ поступления налоговых платежей в бюджетную систему Новосибирской области по данным Управления Федеральной  налоговой службы по Новосибирской области за 2024 год, за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квартал,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полугодие, 9 месяцев 2025 года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по социально-экономическим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течение месяца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после отчета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Отчет о ходе реализации и об оценке эффективности государственных программ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Комитет,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департамент по социально-экономическим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III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квартал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 исполнении постановления Законодательного Собрания Новосибирской области от 21.11.2024 № 205-пр «О проекте закона Новосибирской области «Об областном бюджете Новосибирской области на 2025 год и плановый период 2026 и 2027 годов»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(первое чтение)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Диденко И.В.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Кальченко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 С.В.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исполнении постановления Законодательного Собрания Новосибирской области от 26.09.2024 № 165 «Об отчете о ходе исполнения Плана мероприятий по реализации Стратегии социально-экономического развития Новосибирской области на период до 2030 года за 2023 год»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Кальченко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389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исполнении постановления Законодательного Собрания Новосибирской области от 30.05.2024 № 106 «Об отчете об управлении и распоряжении государственной собственностью Новосибирской области за 2023 год»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Франчук Д.В.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протокольно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поручения сессии ЗС НСО от 28.11.2024 об изучении вопроса эффективности реализации на территории региона проектов ГЧП и КС с целью обсуждения возможности обращения к председателю ГД СФ РФ о внесении предложения о проверке в план работы СП РФ на 2025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Совместно с комитетом ЗС НСО по строительству, жилищно-коммунальному комплексу и тарифам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 квартал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Рассмотрение заключения КСП НСО (экспертиза проекта ОБ 25-27) в отношении замечаний и предложений по Закону Новосибирской области «Об инвестиционном фонде Новосибирской области».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Протокол рабочей группы комитета от 3.12.2024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Диденко И.В.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КСП НСО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Минэк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НСО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аппарат комитета,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 квартал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Рассмотрение актов плановых проверок, представляемых Контрольно-счетной палатой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Диденко И.В.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Кальченко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С.В.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Франчук Д.В.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мере поступления, согласно плану КСП НСО на 2025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Рассмотрение ежеквартальной информации об использовании бюджетных ассигнований инвестиционного фонда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Диденко И.В.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комитета, департамент по правовым вопросам,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по социально-экономическим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Рассмотрение ежеква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ртальной информации министерства экономического развития Новосибирской области о реализации новых инвестиционных и инфраструктурных проектов, реализуемых в рамках постановлений Правительства Российской Федерации от 19.10.2020 № 1704 и от 14.07.2021 № 1189.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Диденко И.В.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Кальченко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С.В.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Франчук Д.В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комитета, департамент по правовым вопросам,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по социально-экономическим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Рассмотрение протестов прокурора Новосибирской области, экспертных заключений Управления Министерства юстиции Российской Федерации по Новосибирской области, а также обращений органов местного самоуправления, организаций и физических лиц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Диденко И.В.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Кальченко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 С.В.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  <w:t xml:space="preserve">Франчук Д.В.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  <w:t xml:space="preserve">аппарат комитета, департамент по правовым вопросам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по мере поступления документов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Рассмотрение возможности увеличения доходной базы консолидированного областного бюджета Новосибирской области.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Диденко И.В.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2"/>
            <w:shd w:val="clear" w:color="ffffff" w:fill="ffffff" w:themeFill="background1"/>
            <w:tcW w:w="49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4180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ассмотрен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</w:rPr>
              <w:t xml:space="preserve"> информация о внесении изменений в сводную бюджетную роспись областного бюджета Новосибирской области без внесения изменений в областной бюджет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gridSpan w:val="5"/>
            <w:shd w:val="clear" w:color="ffffff" w:fill="ffffff" w:themeFill="background1"/>
            <w:tcW w:w="3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Диденко И.В.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аппарат комитета, департамент по социально-экономическим вопросам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20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12"/>
            <w:shd w:val="clear" w:color="ffffff" w:fill="ffffff" w:themeFill="background1"/>
            <w:tcW w:w="103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  <w:t xml:space="preserve">. Организационно-методическая деятельность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  <w:u w:val="singl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 xml:space="preserve">Содержание мероприятий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 xml:space="preserve">Ответственный за исполнение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1609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Разработка мероприятий по рассмотрению проекта закона Новосибирской области «Об исполнении областного бюджета Новосибирской области за 2024 год» в Законодательном Собрании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совместно с аппаратом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июнь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1164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Подготовка проекта рекомендаций публичных слушаний по отчету об исполнении областного бюджета Новосибирской области за 2024 год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Диденко И.В.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1051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Подготовка и проведение публичных слушаний по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отчету об исполнении областного бюджета Новосибирской области за 2024 год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совместно с аппаратом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квартал, по отдельному плану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Разработка мероприятий по рассмотрению проекта закона Новосибирской области «Об областном бюджете Новосибирской области на 2026 год и плановый период 2027 и 2028 годов» в Законодательном Собрании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совместно с аппаратом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октябрь-ноябрь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Подготовка проекта рекомендаций публичных слушаний по проекту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закона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«Об областном бюджете Новосибирской области на 2026 год и плановый период 2027 и 2028 годов»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Диденко И.В.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</w:tr>
      <w:tr>
        <w:tblPrEx/>
        <w:trPr>
          <w:cantSplit/>
          <w:trHeight w:val="1605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публичных слушаний по проекту закона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ластном бюджете Новосибирской области на 2026 год и плановый период 2027 и 2028 годов»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аппаратом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квартал, по отдельному плану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125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Президиума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заместители председателя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планом работы Законодательного Собрания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695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Правительства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заместители председателя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еженедельно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заседаний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комитета, 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планом работы Законодательного Собрания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117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рабочих групп комитета, совещаний по предварительному рассмотрению вопросов, выносимых на рассмотрение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заместители председателя комитета, 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необходимости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621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проведение выездных заседаний комитета, иных мероприятий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отдельному плану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методической помощи органам местного самоуправления по вопросам, находящимся в ведении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необходимости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782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Накопление информации, анализ и обобщение по вопросам ведения и полномочий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 (в соответствии с обязанностями) 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1122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пресс-конференций, выступления в СМИ по вопросам депутатской деятельности и работы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отделом по взаимодействию со СМИ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cantSplit/>
          <w:trHeight w:val="876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Систематизация и изучение нормативных правовых актов в соответствии с направлениями деятельности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96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Приведение областного законодательства в соответствие с федеральным по направлениям деятельности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остоянно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068"/>
        </w:trPr>
        <w:tc>
          <w:tcPr>
            <w:gridSpan w:val="3"/>
            <w:shd w:val="clear" w:color="ffffff" w:fill="ffffff" w:themeFill="background1"/>
            <w:tcW w:w="5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shd w:val="clear" w:color="ffffff" w:fill="ffffff" w:themeFill="background1"/>
            <w:tcW w:w="42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рабочих группах, согласительных комиссиях при подготовке проектов законов Новосибирской области и иных нормативных правовых актов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4"/>
            <w:shd w:val="clear" w:color="ffffff" w:fill="ffffff" w:themeFill="background1"/>
            <w:tcW w:w="37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решением комитета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ffffff" w:fill="ffffff" w:themeFill="background1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поручению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сессий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714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№ 18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декабря 2024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участников заседания комитета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Законодательного Собрания Новосибирской области по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бюджетной, финансово-экономической политике и собственности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 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Варда Татьяна Александровна – начальник департамента по правовым вопросам аппарата Законодательного Собрания Н</w:t>
      </w:r>
      <w:r>
        <w:rPr>
          <w:rFonts w:ascii="Times New Roman" w:hAnsi="Times New Roman"/>
          <w:sz w:val="28"/>
          <w:szCs w:val="28"/>
        </w:rPr>
        <w:t xml:space="preserve">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20"/>
        <w:jc w:val="both"/>
        <w:spacing w:after="0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4. Калентьева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Наталья Владимировна, заместитель министра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начальник управлен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ия законопроектных работ и ведения регистра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министерства юстиции 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firstLine="720"/>
        <w:jc w:val="both"/>
        <w:spacing w:after="0"/>
        <w:rPr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5.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Морозов Геннадий Геннадьевич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руководитель УФНС России по Новосибирской области;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highlight w:val="none"/>
        </w:rPr>
      </w:r>
    </w:p>
    <w:p>
      <w:pPr>
        <w:ind w:left="0" w:firstLine="720"/>
        <w:jc w:val="both"/>
        <w:spacing w:after="0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</w:t>
      </w:r>
      <w:r>
        <w:rPr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Решетников Лев Николаевич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– министр экономического развития Новосиб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ирской области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firstLine="720"/>
        <w:jc w:val="both"/>
        <w:spacing w:after="0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7.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Рягузов Денис Евгеньевич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– и.о. министра промышленности, торговли и развития предпринимательства 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firstLine="720"/>
        <w:jc w:val="both"/>
        <w:spacing w:after="0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8. </w:t>
      </w:r>
      <w:r>
        <w:rPr>
          <w:rFonts w:ascii="Times New Roman" w:hAnsi="Times New Roman"/>
          <w:sz w:val="28"/>
          <w:szCs w:val="28"/>
          <w:highlight w:val="white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firstLine="720"/>
        <w:jc w:val="both"/>
        <w:spacing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9.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Федорчук Сергей Владимирович – руководитель департамента молодежной политики Новосибирской области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0" w:right="707" w:bottom="709" w:left="1134" w:header="709" w:footer="18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1"/>
    <w:link w:val="872"/>
    <w:uiPriority w:val="10"/>
    <w:rPr>
      <w:sz w:val="48"/>
      <w:szCs w:val="48"/>
    </w:rPr>
  </w:style>
  <w:style w:type="character" w:styleId="684">
    <w:name w:val="Subtitle Char"/>
    <w:basedOn w:val="701"/>
    <w:link w:val="873"/>
    <w:uiPriority w:val="11"/>
    <w:rPr>
      <w:sz w:val="24"/>
      <w:szCs w:val="24"/>
    </w:rPr>
  </w:style>
  <w:style w:type="character" w:styleId="685">
    <w:name w:val="Quote Char"/>
    <w:link w:val="717"/>
    <w:uiPriority w:val="29"/>
    <w:rPr>
      <w:i/>
    </w:rPr>
  </w:style>
  <w:style w:type="character" w:styleId="686">
    <w:name w:val="Intense Quote Char"/>
    <w:link w:val="719"/>
    <w:uiPriority w:val="30"/>
    <w:rPr>
      <w:i/>
    </w:rPr>
  </w:style>
  <w:style w:type="character" w:styleId="687">
    <w:name w:val="Header Char"/>
    <w:basedOn w:val="701"/>
    <w:link w:val="721"/>
    <w:uiPriority w:val="99"/>
  </w:style>
  <w:style w:type="character" w:styleId="688">
    <w:name w:val="Caption Char"/>
    <w:basedOn w:val="725"/>
    <w:link w:val="723"/>
    <w:uiPriority w:val="99"/>
  </w:style>
  <w:style w:type="character" w:styleId="689">
    <w:name w:val="Footnote Text Char"/>
    <w:link w:val="854"/>
    <w:uiPriority w:val="99"/>
    <w:rPr>
      <w:sz w:val="18"/>
    </w:rPr>
  </w:style>
  <w:style w:type="character" w:styleId="690">
    <w:name w:val="Endnote Text Char"/>
    <w:link w:val="857"/>
    <w:uiPriority w:val="99"/>
    <w:rPr>
      <w:sz w:val="20"/>
    </w:rPr>
  </w:style>
  <w:style w:type="paragraph" w:styleId="691" w:default="1">
    <w:name w:val="Normal"/>
  </w:style>
  <w:style w:type="paragraph" w:styleId="692">
    <w:name w:val="Heading 1"/>
    <w:basedOn w:val="691"/>
    <w:next w:val="691"/>
    <w:link w:val="704"/>
    <w:pPr>
      <w:jc w:val="center"/>
      <w:keepNext/>
      <w:spacing w:after="0" w:line="240" w:lineRule="auto"/>
      <w:outlineLvl w:val="0"/>
    </w:pPr>
    <w:rPr>
      <w:b/>
      <w:sz w:val="28"/>
      <w:szCs w:val="28"/>
    </w:rPr>
  </w:style>
  <w:style w:type="paragraph" w:styleId="693">
    <w:name w:val="Heading 2"/>
    <w:basedOn w:val="691"/>
    <w:next w:val="691"/>
    <w:link w:val="705"/>
    <w:pPr>
      <w:jc w:val="center"/>
      <w:keepNext/>
      <w:spacing w:after="0" w:line="240" w:lineRule="auto"/>
      <w:shd w:val="clear" w:color="auto" w:fill="ffffff"/>
      <w:outlineLvl w:val="1"/>
    </w:pPr>
    <w:rPr>
      <w:b/>
      <w:color w:val="000000"/>
      <w:sz w:val="26"/>
      <w:szCs w:val="26"/>
    </w:rPr>
  </w:style>
  <w:style w:type="paragraph" w:styleId="694">
    <w:name w:val="Heading 3"/>
    <w:basedOn w:val="691"/>
    <w:next w:val="691"/>
    <w:link w:val="706"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pPr>
      <w:keepLines/>
      <w:keepNext/>
      <w:spacing w:before="320"/>
      <w:outlineLvl w:val="3"/>
    </w:pPr>
    <w:rPr>
      <w:rFonts w:ascii="Arial" w:hAnsi="Arial" w:eastAsia="Arial" w:cs="Arial"/>
      <w:b/>
      <w:sz w:val="26"/>
      <w:szCs w:val="26"/>
    </w:rPr>
  </w:style>
  <w:style w:type="paragraph" w:styleId="696">
    <w:name w:val="Heading 5"/>
    <w:basedOn w:val="691"/>
    <w:next w:val="691"/>
    <w:link w:val="708"/>
    <w:pPr>
      <w:keepLines/>
      <w:keepNext/>
      <w:spacing w:before="320"/>
      <w:outlineLvl w:val="4"/>
    </w:pPr>
    <w:rPr>
      <w:rFonts w:ascii="Arial" w:hAnsi="Arial" w:eastAsia="Arial" w:cs="Arial"/>
      <w:b/>
      <w:sz w:val="24"/>
      <w:szCs w:val="24"/>
    </w:rPr>
  </w:style>
  <w:style w:type="paragraph" w:styleId="697">
    <w:name w:val="Heading 6"/>
    <w:basedOn w:val="691"/>
    <w:next w:val="691"/>
    <w:link w:val="709"/>
    <w:pPr>
      <w:keepLines/>
      <w:keepNext/>
      <w:spacing w:before="320"/>
      <w:outlineLvl w:val="5"/>
    </w:pPr>
    <w:rPr>
      <w:rFonts w:ascii="Arial" w:hAnsi="Arial" w:eastAsia="Arial" w:cs="Arial"/>
      <w:b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after="0" w:line="240" w:lineRule="auto"/>
    </w:pPr>
  </w:style>
  <w:style w:type="character" w:styleId="715" w:customStyle="1">
    <w:name w:val="Заголовок Знак"/>
    <w:link w:val="872"/>
    <w:uiPriority w:val="10"/>
    <w:rPr>
      <w:sz w:val="48"/>
      <w:szCs w:val="48"/>
    </w:rPr>
  </w:style>
  <w:style w:type="character" w:styleId="716" w:customStyle="1">
    <w:name w:val="Подзаголовок Знак"/>
    <w:link w:val="873"/>
    <w:uiPriority w:val="11"/>
    <w:rPr>
      <w:sz w:val="24"/>
      <w:szCs w:val="24"/>
    </w:rPr>
  </w:style>
  <w:style w:type="paragraph" w:styleId="717">
    <w:name w:val="Quote"/>
    <w:basedOn w:val="691"/>
    <w:next w:val="691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91"/>
    <w:next w:val="691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9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Верхний колонтитул Знак"/>
    <w:link w:val="721"/>
    <w:uiPriority w:val="99"/>
  </w:style>
  <w:style w:type="paragraph" w:styleId="723">
    <w:name w:val="Footer"/>
    <w:basedOn w:val="69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91"/>
    <w:next w:val="69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>
    <w:name w:val="Table Grid"/>
    <w:basedOn w:val="70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7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9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9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91"/>
    <w:next w:val="691"/>
    <w:uiPriority w:val="39"/>
    <w:unhideWhenUsed/>
    <w:pPr>
      <w:spacing w:after="57"/>
    </w:pPr>
  </w:style>
  <w:style w:type="paragraph" w:styleId="861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2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3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4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5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6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7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8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1"/>
    <w:next w:val="691"/>
    <w:uiPriority w:val="99"/>
    <w:unhideWhenUsed/>
    <w:pPr>
      <w:spacing w:after="0"/>
    </w:pPr>
  </w:style>
  <w:style w:type="table" w:styleId="87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72">
    <w:name w:val="Title"/>
    <w:basedOn w:val="691"/>
    <w:next w:val="691"/>
    <w:link w:val="715"/>
    <w:pPr>
      <w:spacing w:before="300"/>
    </w:pPr>
    <w:rPr>
      <w:sz w:val="48"/>
      <w:szCs w:val="48"/>
    </w:rPr>
  </w:style>
  <w:style w:type="paragraph" w:styleId="873">
    <w:name w:val="Subtitle"/>
    <w:basedOn w:val="691"/>
    <w:next w:val="691"/>
    <w:link w:val="716"/>
    <w:pPr>
      <w:spacing w:before="200"/>
    </w:pPr>
    <w:rPr>
      <w:sz w:val="24"/>
      <w:szCs w:val="24"/>
    </w:rPr>
  </w:style>
  <w:style w:type="table" w:styleId="874" w:customStyle="1">
    <w:name w:val="StGen0"/>
    <w:basedOn w:val="8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75" w:customStyle="1">
    <w:name w:val="StGen1"/>
    <w:basedOn w:val="87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76" w:customStyle="1">
    <w:name w:val="StGen2"/>
    <w:basedOn w:val="87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77" w:customStyle="1">
    <w:name w:val="Основной текст (8)"/>
    <w:pPr>
      <w:jc w:val="center"/>
      <w:spacing w:after="300" w:line="32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pacing w:val="3"/>
      <w:sz w:val="25"/>
      <w:szCs w:val="25"/>
      <w:lang w:eastAsia="ru-RU"/>
    </w:rPr>
  </w:style>
  <w:style w:type="character" w:styleId="878" w:customStyle="1">
    <w:name w:val="Основной текст (15)_"/>
    <w:rPr>
      <w:spacing w:val="3"/>
      <w:shd w:val="clear" w:color="auto" w:fill="ffffff"/>
    </w:rPr>
  </w:style>
  <w:style w:type="character" w:styleId="879" w:customStyle="1">
    <w:name w:val="fontstyle0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mailto:k_budg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2024-12-18T05:15:00Z</dcterms:created>
  <dcterms:modified xsi:type="dcterms:W3CDTF">2024-12-23T02:29:11Z</dcterms:modified>
</cp:coreProperties>
</file>