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D" w:rsidRDefault="00AB4A98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8148D" w:rsidRDefault="0028148D">
      <w:pPr>
        <w:jc w:val="center"/>
        <w:rPr>
          <w:b/>
        </w:rPr>
      </w:pPr>
    </w:p>
    <w:p w:rsidR="0028148D" w:rsidRDefault="0028148D">
      <w:pPr>
        <w:jc w:val="center"/>
        <w:rPr>
          <w:b/>
        </w:rPr>
      </w:pPr>
    </w:p>
    <w:p w:rsidR="0028148D" w:rsidRDefault="0028148D">
      <w:pPr>
        <w:jc w:val="center"/>
        <w:rPr>
          <w:b/>
          <w:szCs w:val="32"/>
        </w:rPr>
      </w:pPr>
    </w:p>
    <w:p w:rsidR="0028148D" w:rsidRDefault="00AB4A98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8148D" w:rsidRDefault="0028148D">
      <w:pPr>
        <w:jc w:val="center"/>
        <w:rPr>
          <w:b/>
          <w:sz w:val="24"/>
        </w:rPr>
      </w:pPr>
    </w:p>
    <w:p w:rsidR="0028148D" w:rsidRDefault="00AB4A98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8148D" w:rsidRDefault="0028148D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8148D">
        <w:trPr>
          <w:trHeight w:val="874"/>
        </w:trPr>
        <w:tc>
          <w:tcPr>
            <w:tcW w:w="10064" w:type="dxa"/>
            <w:vAlign w:val="center"/>
          </w:tcPr>
          <w:p w:rsidR="0028148D" w:rsidRDefault="00AB4A98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8148D" w:rsidRDefault="00AB4A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8148D" w:rsidRPr="007605D2" w:rsidRDefault="00AB4A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605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605D2"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 w:rsidRPr="007605D2"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 w:rsidRPr="007605D2"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 w:rsidRPr="007605D2"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Pr="007605D2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 w:rsidRPr="007605D2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7605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 w:rsidRPr="007605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8148D" w:rsidRPr="007605D2" w:rsidRDefault="0028148D">
      <w:pPr>
        <w:pStyle w:val="af5"/>
        <w:rPr>
          <w:sz w:val="24"/>
        </w:rPr>
      </w:pPr>
    </w:p>
    <w:p w:rsidR="0028148D" w:rsidRPr="007605D2" w:rsidRDefault="00AB4A98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tbl>
      <w:tblPr>
        <w:tblW w:w="10050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709"/>
        <w:gridCol w:w="1542"/>
        <w:gridCol w:w="558"/>
        <w:gridCol w:w="2117"/>
        <w:gridCol w:w="584"/>
        <w:gridCol w:w="4540"/>
      </w:tblGrid>
      <w:tr w:rsidR="0028148D">
        <w:trPr>
          <w:cantSplit/>
          <w:trHeight w:val="262"/>
        </w:trPr>
        <w:tc>
          <w:tcPr>
            <w:tcW w:w="2250" w:type="dxa"/>
            <w:gridSpan w:val="2"/>
            <w:tcBorders>
              <w:bottom w:val="single" w:sz="4" w:space="0" w:color="000000"/>
            </w:tcBorders>
            <w:vAlign w:val="bottom"/>
          </w:tcPr>
          <w:p w:rsidR="0028148D" w:rsidRPr="007605D2" w:rsidRDefault="002814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28148D" w:rsidRDefault="00AB4A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vAlign w:val="bottom"/>
          </w:tcPr>
          <w:p w:rsidR="0028148D" w:rsidRDefault="002814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vAlign w:val="bottom"/>
          </w:tcPr>
          <w:p w:rsidR="0028148D" w:rsidRDefault="002814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40" w:type="dxa"/>
            <w:vMerge w:val="restart"/>
            <w:shd w:val="clear" w:color="auto" w:fill="auto"/>
            <w:vAlign w:val="center"/>
          </w:tcPr>
          <w:p w:rsidR="0028148D" w:rsidRDefault="00AB4A98">
            <w:pPr>
              <w:pStyle w:val="af5"/>
              <w:widowControl w:val="0"/>
              <w:jc w:val="right"/>
              <w:rPr>
                <w:b/>
                <w:caps/>
                <w:szCs w:val="27"/>
                <w:u w:val="single"/>
              </w:rPr>
            </w:pPr>
            <w:r>
              <w:rPr>
                <w:b/>
                <w:caps/>
                <w:szCs w:val="27"/>
                <w:u w:val="single"/>
              </w:rPr>
              <w:t>проект</w:t>
            </w:r>
          </w:p>
        </w:tc>
      </w:tr>
      <w:tr w:rsidR="0028148D">
        <w:trPr>
          <w:cantSplit/>
          <w:trHeight w:val="70"/>
        </w:trPr>
        <w:tc>
          <w:tcPr>
            <w:tcW w:w="4925" w:type="dxa"/>
            <w:gridSpan w:val="4"/>
            <w:vAlign w:val="bottom"/>
          </w:tcPr>
          <w:p w:rsidR="0028148D" w:rsidRDefault="0028148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28148D" w:rsidRDefault="0028148D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28148D" w:rsidRDefault="0028148D">
            <w:pPr>
              <w:widowControl w:val="0"/>
            </w:pPr>
          </w:p>
        </w:tc>
      </w:tr>
      <w:tr w:rsidR="0028148D">
        <w:trPr>
          <w:cantSplit/>
          <w:trHeight w:val="281"/>
        </w:trPr>
        <w:tc>
          <w:tcPr>
            <w:tcW w:w="708" w:type="dxa"/>
            <w:vAlign w:val="bottom"/>
          </w:tcPr>
          <w:p w:rsidR="0028148D" w:rsidRDefault="00AB4A98">
            <w:pPr>
              <w:widowControl w:val="0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  <w:vAlign w:val="bottom"/>
          </w:tcPr>
          <w:p w:rsidR="0028148D" w:rsidRDefault="0028148D">
            <w:pPr>
              <w:widowControl w:val="0"/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28148D" w:rsidRDefault="00AB4A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vAlign w:val="bottom"/>
          </w:tcPr>
          <w:p w:rsidR="0028148D" w:rsidRDefault="0028148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vAlign w:val="bottom"/>
          </w:tcPr>
          <w:p w:rsidR="0028148D" w:rsidRDefault="0028148D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28148D" w:rsidRDefault="0028148D">
            <w:pPr>
              <w:widowControl w:val="0"/>
            </w:pPr>
          </w:p>
        </w:tc>
      </w:tr>
      <w:tr w:rsidR="0028148D">
        <w:trPr>
          <w:cantSplit/>
          <w:trHeight w:val="211"/>
        </w:trPr>
        <w:tc>
          <w:tcPr>
            <w:tcW w:w="4925" w:type="dxa"/>
            <w:gridSpan w:val="4"/>
            <w:vAlign w:val="bottom"/>
          </w:tcPr>
          <w:p w:rsidR="0028148D" w:rsidRDefault="0028148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28148D" w:rsidRDefault="0028148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28148D" w:rsidRDefault="0028148D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28148D" w:rsidRDefault="0028148D">
      <w:pPr>
        <w:pStyle w:val="af5"/>
        <w:ind w:firstLine="0"/>
        <w:rPr>
          <w:szCs w:val="27"/>
        </w:rPr>
      </w:pPr>
    </w:p>
    <w:p w:rsidR="0028148D" w:rsidRDefault="0028148D">
      <w:pPr>
        <w:pStyle w:val="af5"/>
        <w:ind w:firstLine="0"/>
        <w:rPr>
          <w:szCs w:val="27"/>
        </w:rPr>
      </w:pPr>
    </w:p>
    <w:p w:rsidR="0028148D" w:rsidRDefault="00AB4A98">
      <w:pPr>
        <w:pStyle w:val="af5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28148D" w:rsidRDefault="00AB4A98">
      <w:pPr>
        <w:pStyle w:val="af5"/>
        <w:ind w:firstLine="0"/>
        <w:jc w:val="center"/>
        <w:rPr>
          <w:b/>
          <w:szCs w:val="27"/>
        </w:rPr>
      </w:pPr>
      <w:r>
        <w:rPr>
          <w:b/>
          <w:szCs w:val="27"/>
        </w:rPr>
        <w:t>заседания комитета 14.05.2024</w:t>
      </w:r>
    </w:p>
    <w:p w:rsidR="0028148D" w:rsidRDefault="0028148D">
      <w:pPr>
        <w:pStyle w:val="af5"/>
        <w:jc w:val="center"/>
        <w:rPr>
          <w:b/>
          <w:sz w:val="27"/>
          <w:szCs w:val="27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8148D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148D" w:rsidRDefault="0028148D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148D" w:rsidRDefault="00AB4A98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28148D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148D" w:rsidRDefault="0028148D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148D" w:rsidRDefault="00AB4A98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28148D" w:rsidRDefault="0028148D">
      <w:pPr>
        <w:rPr>
          <w:szCs w:val="27"/>
        </w:rPr>
      </w:pPr>
    </w:p>
    <w:p w:rsidR="0028148D" w:rsidRDefault="00AB4A98">
      <w:pPr>
        <w:pStyle w:val="af5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Заикина</w:t>
      </w:r>
      <w:proofErr w:type="spellEnd"/>
      <w:r>
        <w:rPr>
          <w:szCs w:val="27"/>
        </w:rPr>
        <w:t xml:space="preserve"> Светлана Сергеевна – руководитель Регионального исполкома Общероссийског</w:t>
      </w:r>
      <w:r>
        <w:rPr>
          <w:szCs w:val="27"/>
        </w:rPr>
        <w:t>о общественного движения «Народный фронт «За Россию» в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Парфенцова</w:t>
      </w:r>
      <w:proofErr w:type="spellEnd"/>
      <w:r>
        <w:rPr>
          <w:szCs w:val="27"/>
        </w:rPr>
        <w:t xml:space="preserve"> Татьяна Михайловна – член Общественного совета при Законодатель</w:t>
      </w:r>
      <w:r>
        <w:rPr>
          <w:szCs w:val="27"/>
        </w:rPr>
        <w:t>ном Собрании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rStyle w:val="af6"/>
          <w:szCs w:val="27"/>
        </w:rPr>
        <w:t>Саблина Елена Николаевна – аудитор Контрольно-счетной палаты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t>Сальников Алексей Иванович – председатель совета Асс</w:t>
      </w:r>
      <w:r>
        <w:rPr>
          <w:szCs w:val="27"/>
          <w:shd w:val="clear" w:color="auto" w:fill="FFFFFF"/>
        </w:rPr>
        <w:t xml:space="preserve">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lastRenderedPageBreak/>
        <w:t>Сколубович</w:t>
      </w:r>
      <w:proofErr w:type="spellEnd"/>
      <w:r>
        <w:rPr>
          <w:szCs w:val="27"/>
        </w:rPr>
        <w:t xml:space="preserve"> Юрий Леонидович – член Совета по вопросам рационального природопользования, охраны окружающей среды и обеспечения экологической безопасности пр</w:t>
      </w:r>
      <w:r>
        <w:rPr>
          <w:szCs w:val="27"/>
        </w:rPr>
        <w:t>и Губернаторе Новосибирской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Тишуров</w:t>
      </w:r>
      <w:proofErr w:type="spellEnd"/>
      <w:r>
        <w:rPr>
          <w:szCs w:val="27"/>
        </w:rPr>
        <w:t xml:space="preserve"> Станислав Александрович – региональный директор АО «</w:t>
      </w:r>
      <w:proofErr w:type="spellStart"/>
      <w:r>
        <w:rPr>
          <w:szCs w:val="27"/>
        </w:rPr>
        <w:t>Россельхозбанк</w:t>
      </w:r>
      <w:proofErr w:type="spellEnd"/>
      <w:r>
        <w:rPr>
          <w:szCs w:val="27"/>
        </w:rPr>
        <w:t>»;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rPr>
          <w:shd w:val="clear" w:color="auto" w:fill="FFFFFF"/>
        </w:rPr>
        <w:t xml:space="preserve">Толстых Вячеслав Леонидович – </w:t>
      </w:r>
      <w:r>
        <w:t xml:space="preserve"> заместитель начальника управления по надзору за исполнением федерального законодательства прокуратуры Новосибир</w:t>
      </w:r>
      <w:r>
        <w:t>ской области;</w:t>
      </w:r>
    </w:p>
    <w:p w:rsidR="0028148D" w:rsidRDefault="00AB4A9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C375E6" w:rsidRDefault="00AB4A98" w:rsidP="00C375E6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Шилохвостов</w:t>
      </w:r>
      <w:proofErr w:type="spellEnd"/>
      <w:r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</w:t>
      </w:r>
      <w:r w:rsidR="00C375E6">
        <w:rPr>
          <w:szCs w:val="27"/>
        </w:rPr>
        <w:t xml:space="preserve"> </w:t>
      </w:r>
    </w:p>
    <w:p w:rsidR="0028148D" w:rsidRPr="00C375E6" w:rsidRDefault="00C375E6" w:rsidP="00C375E6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proofErr w:type="spellStart"/>
      <w:r w:rsidRPr="00C375E6">
        <w:rPr>
          <w:bCs w:val="0"/>
          <w:iCs/>
        </w:rPr>
        <w:t>Шинделов</w:t>
      </w:r>
      <w:proofErr w:type="spellEnd"/>
      <w:r w:rsidRPr="00C375E6">
        <w:rPr>
          <w:bCs w:val="0"/>
          <w:iCs/>
        </w:rPr>
        <w:t xml:space="preserve"> Андрей Викторович – </w:t>
      </w:r>
      <w:r w:rsidRPr="00C375E6">
        <w:rPr>
          <w:iCs/>
        </w:rPr>
        <w:t xml:space="preserve">исполняющий обязанности </w:t>
      </w:r>
      <w:r w:rsidRPr="00C375E6">
        <w:rPr>
          <w:bCs w:val="0"/>
          <w:iCs/>
        </w:rPr>
        <w:t>министра сельского хозяйства Новосибирской области</w:t>
      </w:r>
    </w:p>
    <w:p w:rsidR="00C375E6" w:rsidRPr="00C375E6" w:rsidRDefault="00C375E6" w:rsidP="00C375E6">
      <w:pPr>
        <w:tabs>
          <w:tab w:val="left" w:pos="426"/>
        </w:tabs>
        <w:jc w:val="both"/>
        <w:rPr>
          <w:szCs w:val="27"/>
        </w:rPr>
      </w:pPr>
    </w:p>
    <w:p w:rsidR="0028148D" w:rsidRDefault="00AB4A98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28148D" w:rsidRDefault="00AB4A98" w:rsidP="002B079C">
      <w:pPr>
        <w:pStyle w:val="af5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28148D" w:rsidRDefault="00AB4A98" w:rsidP="002B079C">
      <w:pPr>
        <w:pStyle w:val="af8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</w:t>
      </w:r>
      <w:r>
        <w:rPr>
          <w:szCs w:val="27"/>
        </w:rPr>
        <w:t xml:space="preserve"> и земельным отношениям.</w:t>
      </w:r>
    </w:p>
    <w:p w:rsidR="0028148D" w:rsidRDefault="0028148D" w:rsidP="002B079C">
      <w:pPr>
        <w:pStyle w:val="af8"/>
        <w:spacing w:after="0"/>
        <w:ind w:firstLine="709"/>
        <w:jc w:val="both"/>
        <w:rPr>
          <w:szCs w:val="28"/>
        </w:rPr>
      </w:pPr>
    </w:p>
    <w:p w:rsidR="0028148D" w:rsidRDefault="00AB4A98" w:rsidP="002B079C">
      <w:pPr>
        <w:pStyle w:val="aff6"/>
        <w:ind w:firstLine="709"/>
        <w:jc w:val="both"/>
      </w:pPr>
      <w:r>
        <w:rPr>
          <w:szCs w:val="27"/>
        </w:rPr>
        <w:t>2.</w:t>
      </w:r>
      <w:r w:rsidR="00807A50">
        <w:rPr>
          <w:b/>
          <w:bCs/>
          <w:szCs w:val="27"/>
        </w:rPr>
        <w:t> </w:t>
      </w:r>
      <w:bookmarkStart w:id="1" w:name="_GoBack"/>
      <w:bookmarkEnd w:id="1"/>
      <w:r>
        <w:rPr>
          <w:b/>
          <w:bCs/>
          <w:szCs w:val="27"/>
        </w:rPr>
        <w:t>О проекте закона Новосибирской области «</w:t>
      </w:r>
      <w:r>
        <w:rPr>
          <w:b/>
          <w:szCs w:val="28"/>
        </w:rPr>
        <w:t xml:space="preserve">О внесении изменений в статью 3.1 Закона Новосибирской области </w:t>
      </w:r>
      <w:r>
        <w:rPr>
          <w:b/>
          <w:bCs/>
          <w:szCs w:val="28"/>
        </w:rPr>
        <w:t>«О полномочиях органов государственной власти Новосибирской области в сфере недропользования» (второе чтение).</w:t>
      </w:r>
    </w:p>
    <w:p w:rsidR="0028148D" w:rsidRDefault="00AB4A98" w:rsidP="002B079C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8148D" w:rsidRDefault="0028148D" w:rsidP="002B079C">
      <w:pPr>
        <w:pStyle w:val="aff6"/>
        <w:ind w:firstLine="709"/>
        <w:jc w:val="both"/>
        <w:rPr>
          <w:szCs w:val="28"/>
        </w:rPr>
      </w:pPr>
    </w:p>
    <w:p w:rsidR="0028148D" w:rsidRDefault="00AB4A98" w:rsidP="002B079C">
      <w:pPr>
        <w:pStyle w:val="aff6"/>
        <w:ind w:firstLine="709"/>
        <w:jc w:val="both"/>
      </w:pPr>
      <w:r>
        <w:rPr>
          <w:b/>
          <w:bCs/>
          <w:szCs w:val="27"/>
        </w:rPr>
        <w:t xml:space="preserve">3. О проекте </w:t>
      </w:r>
      <w:r>
        <w:rPr>
          <w:b/>
          <w:bCs/>
          <w:szCs w:val="28"/>
        </w:rPr>
        <w:t>закона Новосибирской области «О внесении изменений в Закон Новосибирской области «Об обороте земель сельскохозяйственно</w:t>
      </w:r>
      <w:r>
        <w:rPr>
          <w:b/>
          <w:bCs/>
          <w:szCs w:val="28"/>
        </w:rPr>
        <w:t>го назначения на территории Новосибирской области» и Закон Новосибирской области «Об отдельных вопросах регулирования земельных отношений на территории Новосибирской области»</w:t>
      </w:r>
      <w:r>
        <w:rPr>
          <w:b/>
          <w:bCs/>
          <w:szCs w:val="27"/>
        </w:rPr>
        <w:t xml:space="preserve"> (второе чтение)</w:t>
      </w:r>
      <w:r>
        <w:rPr>
          <w:b/>
          <w:bCs/>
          <w:szCs w:val="28"/>
        </w:rPr>
        <w:t>.</w:t>
      </w:r>
    </w:p>
    <w:p w:rsidR="0028148D" w:rsidRDefault="00AB4A98" w:rsidP="002B079C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</w:t>
      </w:r>
      <w:r>
        <w:rPr>
          <w:szCs w:val="27"/>
        </w:rPr>
        <w:t>арной политике, природным ресурсам и земельным отношениям.</w:t>
      </w:r>
    </w:p>
    <w:p w:rsidR="0028148D" w:rsidRDefault="0028148D" w:rsidP="002B079C">
      <w:pPr>
        <w:pStyle w:val="aff6"/>
        <w:ind w:firstLine="709"/>
        <w:jc w:val="both"/>
      </w:pPr>
    </w:p>
    <w:p w:rsidR="0028148D" w:rsidRDefault="00AB4A98" w:rsidP="002B079C">
      <w:pPr>
        <w:pStyle w:val="aff6"/>
        <w:ind w:firstLine="709"/>
        <w:jc w:val="both"/>
      </w:pPr>
      <w:r>
        <w:rPr>
          <w:b/>
          <w:bCs/>
          <w:szCs w:val="27"/>
        </w:rPr>
        <w:t>4.</w:t>
      </w:r>
      <w:r w:rsidR="007605D2">
        <w:rPr>
          <w:b/>
          <w:bCs/>
          <w:szCs w:val="27"/>
        </w:rPr>
        <w:t> </w:t>
      </w:r>
      <w:r>
        <w:rPr>
          <w:b/>
          <w:bCs/>
          <w:szCs w:val="27"/>
        </w:rPr>
        <w:t xml:space="preserve">О проекте </w:t>
      </w:r>
      <w:r>
        <w:rPr>
          <w:b/>
          <w:bCs/>
          <w:szCs w:val="28"/>
        </w:rPr>
        <w:t>закона Новосибирской области</w:t>
      </w:r>
      <w:r>
        <w:rPr>
          <w:b/>
          <w:bCs/>
        </w:rPr>
        <w:t xml:space="preserve"> «О внесении изменения в статью 8 Закона Новосибирской области «О дополнительных мерах социальной поддержки многодетных семей на территории Новосибирской о</w:t>
      </w:r>
      <w:r>
        <w:rPr>
          <w:b/>
          <w:bCs/>
        </w:rPr>
        <w:t>бласти» и внесении изменений в статьи 6.1 и 6.2 Закона Новосибирской области «Об отдельных вопросах регулирования земельных отношений на территории Новосибирской области»</w:t>
      </w:r>
      <w:r>
        <w:t xml:space="preserve"> </w:t>
      </w:r>
      <w:r>
        <w:rPr>
          <w:b/>
          <w:bCs/>
          <w:szCs w:val="27"/>
        </w:rPr>
        <w:t>(первое чтение)</w:t>
      </w:r>
      <w:r>
        <w:t>.</w:t>
      </w:r>
    </w:p>
    <w:p w:rsidR="0028148D" w:rsidRDefault="00AB4A98" w:rsidP="002B079C">
      <w:pPr>
        <w:pStyle w:val="aff6"/>
        <w:ind w:firstLine="709"/>
        <w:jc w:val="both"/>
      </w:pPr>
      <w:bookmarkStart w:id="2" w:name="_GoBack1"/>
      <w:bookmarkEnd w:id="2"/>
      <w:r>
        <w:rPr>
          <w:szCs w:val="27"/>
        </w:rPr>
        <w:t>Доклад: </w:t>
      </w:r>
      <w:r>
        <w:rPr>
          <w:shd w:val="clear" w:color="auto" w:fill="FFFFFF"/>
        </w:rPr>
        <w:t xml:space="preserve">Толстых Вячеслав Леонидович – </w:t>
      </w:r>
      <w:r>
        <w:t xml:space="preserve"> заместитель начальника управл</w:t>
      </w:r>
      <w:r>
        <w:t>ения по надзору за исполнением федерального законодательства прокуратуры Новосибирской области</w:t>
      </w:r>
      <w:r>
        <w:rPr>
          <w:szCs w:val="27"/>
        </w:rPr>
        <w:t>.</w:t>
      </w:r>
    </w:p>
    <w:p w:rsidR="0028148D" w:rsidRDefault="0028148D" w:rsidP="002B079C">
      <w:pPr>
        <w:pStyle w:val="aff6"/>
        <w:ind w:firstLine="709"/>
        <w:jc w:val="both"/>
      </w:pPr>
    </w:p>
    <w:p w:rsidR="0028148D" w:rsidRDefault="00AB4A98" w:rsidP="002B079C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  <w:r>
        <w:rPr>
          <w:b/>
          <w:bCs/>
          <w:szCs w:val="28"/>
        </w:rPr>
        <w:lastRenderedPageBreak/>
        <w:t>5.</w:t>
      </w:r>
      <w:r w:rsidR="00807A50">
        <w:rPr>
          <w:b/>
          <w:bCs/>
          <w:szCs w:val="28"/>
        </w:rPr>
        <w:t> </w:t>
      </w:r>
      <w:r>
        <w:rPr>
          <w:b/>
          <w:bCs/>
          <w:szCs w:val="27"/>
        </w:rPr>
        <w:t>О годовом отчёте об исполнении за 2023 год государственной программы Новосибирской области «Развитие сельского хозяйства и регулирование рынков сельскохозяй</w:t>
      </w:r>
      <w:r>
        <w:rPr>
          <w:b/>
          <w:bCs/>
          <w:szCs w:val="27"/>
        </w:rPr>
        <w:t xml:space="preserve">ственной продукции, сырья и продовольствия в Новосибирской области». </w:t>
      </w:r>
    </w:p>
    <w:p w:rsidR="0028148D" w:rsidRPr="00B66005" w:rsidRDefault="00807A50" w:rsidP="002B079C">
      <w:pPr>
        <w:pStyle w:val="aff6"/>
        <w:tabs>
          <w:tab w:val="left" w:pos="709"/>
        </w:tabs>
        <w:ind w:firstLine="709"/>
        <w:jc w:val="both"/>
      </w:pPr>
      <w:r>
        <w:rPr>
          <w:szCs w:val="27"/>
        </w:rPr>
        <w:t>Доклад: </w:t>
      </w:r>
      <w:proofErr w:type="spellStart"/>
      <w:r w:rsidR="00B66005" w:rsidRPr="00B66005">
        <w:rPr>
          <w:iCs/>
        </w:rPr>
        <w:t>Шинделов</w:t>
      </w:r>
      <w:proofErr w:type="spellEnd"/>
      <w:r w:rsidR="00B66005" w:rsidRPr="00B66005">
        <w:rPr>
          <w:iCs/>
        </w:rPr>
        <w:t xml:space="preserve"> Андрей Викторович – </w:t>
      </w:r>
      <w:r w:rsidR="00B66005">
        <w:rPr>
          <w:iCs/>
        </w:rPr>
        <w:t xml:space="preserve">исполняющий обязанности </w:t>
      </w:r>
      <w:r w:rsidR="00B66005" w:rsidRPr="00B66005">
        <w:rPr>
          <w:iCs/>
        </w:rPr>
        <w:t>министра сельского хозяйства Новосибирской области</w:t>
      </w:r>
      <w:r w:rsidR="00AB4A98" w:rsidRPr="00B66005">
        <w:t>.</w:t>
      </w:r>
    </w:p>
    <w:p w:rsidR="0028148D" w:rsidRDefault="0028148D" w:rsidP="002B079C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28148D" w:rsidRPr="002B079C" w:rsidRDefault="002B079C" w:rsidP="002B079C">
      <w:pPr>
        <w:pStyle w:val="aff6"/>
        <w:ind w:firstLine="709"/>
        <w:jc w:val="both"/>
      </w:pPr>
      <w:r>
        <w:rPr>
          <w:b/>
          <w:bCs/>
          <w:szCs w:val="27"/>
        </w:rPr>
        <w:t>6. </w:t>
      </w:r>
      <w:r w:rsidR="00AB4A98" w:rsidRPr="002B079C">
        <w:rPr>
          <w:b/>
          <w:bCs/>
        </w:rPr>
        <w:t xml:space="preserve">О годовом отчёте </w:t>
      </w:r>
      <w:r w:rsidR="00AB4A98" w:rsidRPr="002B079C">
        <w:rPr>
          <w:b/>
          <w:bCs/>
        </w:rPr>
        <w:t>об исполнении за 2023 год государственной программы Новосибирской области «Комплексное развитие сельских территорий в Новосибирской области».</w:t>
      </w:r>
    </w:p>
    <w:p w:rsidR="00C375E6" w:rsidRPr="00B66005" w:rsidRDefault="00807A50" w:rsidP="002B079C">
      <w:pPr>
        <w:pStyle w:val="aff6"/>
        <w:tabs>
          <w:tab w:val="left" w:pos="709"/>
        </w:tabs>
        <w:ind w:firstLine="709"/>
        <w:jc w:val="both"/>
      </w:pPr>
      <w:r>
        <w:rPr>
          <w:szCs w:val="27"/>
        </w:rPr>
        <w:t>Доклад: </w:t>
      </w:r>
      <w:proofErr w:type="spellStart"/>
      <w:r w:rsidR="00C375E6" w:rsidRPr="00B66005">
        <w:rPr>
          <w:iCs/>
        </w:rPr>
        <w:t>Шинделов</w:t>
      </w:r>
      <w:proofErr w:type="spellEnd"/>
      <w:r w:rsidR="00C375E6" w:rsidRPr="00B66005">
        <w:rPr>
          <w:iCs/>
        </w:rPr>
        <w:t xml:space="preserve"> Андрей Викторович – </w:t>
      </w:r>
      <w:r w:rsidR="00C375E6">
        <w:rPr>
          <w:iCs/>
        </w:rPr>
        <w:t xml:space="preserve">исполняющий обязанности </w:t>
      </w:r>
      <w:r w:rsidR="00C375E6" w:rsidRPr="00B66005">
        <w:rPr>
          <w:iCs/>
        </w:rPr>
        <w:t>министра сельского хозяйства Новосибирской области</w:t>
      </w:r>
      <w:r w:rsidR="00C375E6" w:rsidRPr="00B66005">
        <w:t>.</w:t>
      </w:r>
    </w:p>
    <w:p w:rsidR="0028148D" w:rsidRDefault="0028148D" w:rsidP="002B079C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</w:p>
    <w:p w:rsidR="0028148D" w:rsidRDefault="00807A50" w:rsidP="002B079C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8"/>
        </w:rPr>
        <w:t>7. </w:t>
      </w:r>
      <w:r w:rsidR="00AB4A98">
        <w:rPr>
          <w:b/>
          <w:bCs/>
          <w:szCs w:val="28"/>
        </w:rPr>
        <w:t>О годовом отчёте об исполнении за 2023 год государственной программы Новосибирской области «Развитие лесного хозяйства Новосибирс</w:t>
      </w:r>
      <w:r w:rsidR="00AB4A98">
        <w:rPr>
          <w:b/>
          <w:bCs/>
          <w:szCs w:val="28"/>
        </w:rPr>
        <w:t>кой области».</w:t>
      </w:r>
    </w:p>
    <w:p w:rsidR="0028148D" w:rsidRDefault="00AB4A98" w:rsidP="002B079C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8"/>
        </w:rPr>
        <w:t>Доклад: </w:t>
      </w:r>
      <w:r>
        <w:rPr>
          <w:szCs w:val="27"/>
        </w:rPr>
        <w:t>Шестернин Евгений Анатольевич – министр природных ресурсов и экологии Новосибирской области</w:t>
      </w:r>
      <w:r>
        <w:t>.</w:t>
      </w:r>
    </w:p>
    <w:p w:rsidR="0028148D" w:rsidRDefault="0028148D" w:rsidP="002B079C">
      <w:pPr>
        <w:pStyle w:val="aff6"/>
        <w:tabs>
          <w:tab w:val="left" w:pos="709"/>
        </w:tabs>
        <w:ind w:firstLine="709"/>
        <w:jc w:val="both"/>
        <w:rPr>
          <w:szCs w:val="28"/>
        </w:rPr>
      </w:pPr>
    </w:p>
    <w:p w:rsidR="0028148D" w:rsidRDefault="00AB4A98" w:rsidP="002B079C">
      <w:pPr>
        <w:pStyle w:val="aff6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7"/>
        </w:rPr>
        <w:t>8. </w:t>
      </w:r>
      <w:r>
        <w:rPr>
          <w:b/>
          <w:bCs/>
          <w:color w:val="000000" w:themeColor="text1"/>
          <w:szCs w:val="27"/>
        </w:rPr>
        <w:t xml:space="preserve">О годовом отчёте об исполнении за 2023 год государственной программы Новосибирской области </w:t>
      </w:r>
      <w:r>
        <w:rPr>
          <w:b/>
          <w:bCs/>
          <w:color w:val="000000" w:themeColor="text1"/>
          <w:szCs w:val="27"/>
        </w:rPr>
        <w:t>«Охрана окружающей среды».</w:t>
      </w:r>
    </w:p>
    <w:p w:rsidR="0028148D" w:rsidRDefault="00AB4A98" w:rsidP="002B079C">
      <w:pPr>
        <w:pStyle w:val="aff6"/>
        <w:ind w:firstLine="709"/>
        <w:jc w:val="both"/>
      </w:pPr>
      <w:r>
        <w:rPr>
          <w:szCs w:val="28"/>
        </w:rPr>
        <w:t>Доклад:</w:t>
      </w:r>
      <w:r w:rsidR="00807A50">
        <w:rPr>
          <w:szCs w:val="28"/>
        </w:rPr>
        <w:t> </w:t>
      </w:r>
      <w:r>
        <w:rPr>
          <w:szCs w:val="28"/>
        </w:rPr>
        <w:t>Шестернин Евгений Анатольевич – министр природных ресурсов и экологии Новосибирской области</w:t>
      </w:r>
      <w:r>
        <w:rPr>
          <w:szCs w:val="26"/>
        </w:rPr>
        <w:t>.</w:t>
      </w:r>
    </w:p>
    <w:p w:rsidR="0028148D" w:rsidRDefault="0028148D" w:rsidP="002B079C">
      <w:pPr>
        <w:pStyle w:val="aff6"/>
        <w:ind w:firstLine="709"/>
        <w:jc w:val="both"/>
        <w:rPr>
          <w:rStyle w:val="af6"/>
          <w:b/>
          <w:bCs/>
          <w:color w:val="000000"/>
          <w:szCs w:val="27"/>
        </w:rPr>
      </w:pPr>
    </w:p>
    <w:p w:rsidR="0028148D" w:rsidRDefault="00AB4A98" w:rsidP="002B079C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9. О награждении.</w:t>
      </w:r>
    </w:p>
    <w:p w:rsidR="0028148D" w:rsidRDefault="00AB4A98" w:rsidP="002B079C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28148D" w:rsidRDefault="0028148D" w:rsidP="002B079C">
      <w:pPr>
        <w:pStyle w:val="aff6"/>
        <w:ind w:firstLine="709"/>
        <w:jc w:val="both"/>
        <w:rPr>
          <w:szCs w:val="26"/>
        </w:rPr>
      </w:pPr>
    </w:p>
    <w:p w:rsidR="0028148D" w:rsidRDefault="00AB4A98" w:rsidP="002B079C">
      <w:pPr>
        <w:pStyle w:val="aff6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10. Разное.</w:t>
      </w:r>
    </w:p>
    <w:p w:rsidR="0028148D" w:rsidRDefault="0028148D">
      <w:pPr>
        <w:pStyle w:val="af8"/>
        <w:spacing w:after="0"/>
        <w:jc w:val="both"/>
        <w:rPr>
          <w:szCs w:val="28"/>
        </w:rPr>
      </w:pPr>
    </w:p>
    <w:p w:rsidR="0028148D" w:rsidRDefault="0028148D">
      <w:pPr>
        <w:pStyle w:val="af8"/>
        <w:spacing w:after="0"/>
        <w:jc w:val="both"/>
        <w:rPr>
          <w:szCs w:val="28"/>
        </w:rPr>
      </w:pPr>
    </w:p>
    <w:p w:rsidR="0028148D" w:rsidRDefault="0028148D">
      <w:pPr>
        <w:pStyle w:val="af8"/>
        <w:spacing w:after="0"/>
        <w:jc w:val="both"/>
        <w:rPr>
          <w:szCs w:val="28"/>
        </w:rPr>
      </w:pPr>
    </w:p>
    <w:p w:rsidR="0028148D" w:rsidRDefault="00AB4A98">
      <w:pPr>
        <w:pStyle w:val="af8"/>
        <w:spacing w:after="0"/>
        <w:jc w:val="both"/>
        <w:rPr>
          <w:szCs w:val="27"/>
        </w:rPr>
      </w:pPr>
      <w:bookmarkStart w:id="3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3"/>
    </w:p>
    <w:sectPr w:rsidR="0028148D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98" w:rsidRDefault="00AB4A98">
      <w:r>
        <w:separator/>
      </w:r>
    </w:p>
  </w:endnote>
  <w:endnote w:type="continuationSeparator" w:id="0">
    <w:p w:rsidR="00AB4A98" w:rsidRDefault="00AB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Franklin Gothic Medium Cond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98" w:rsidRDefault="00AB4A98">
      <w:r>
        <w:separator/>
      </w:r>
    </w:p>
  </w:footnote>
  <w:footnote w:type="continuationSeparator" w:id="0">
    <w:p w:rsidR="00AB4A98" w:rsidRDefault="00AB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48D" w:rsidRDefault="00AB4A98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807A50">
      <w:rPr>
        <w:noProof/>
        <w:sz w:val="24"/>
      </w:rPr>
      <w:t>3</w:t>
    </w:r>
    <w:r>
      <w:rPr>
        <w:sz w:val="24"/>
      </w:rPr>
      <w:fldChar w:fldCharType="end"/>
    </w:r>
  </w:p>
  <w:p w:rsidR="0028148D" w:rsidRDefault="0028148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5D7"/>
    <w:multiLevelType w:val="hybridMultilevel"/>
    <w:tmpl w:val="284A277E"/>
    <w:lvl w:ilvl="0" w:tplc="91D6360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0AD255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348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C7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E64C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AC0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40B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CD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77FDB"/>
    <w:multiLevelType w:val="hybridMultilevel"/>
    <w:tmpl w:val="9D24D98E"/>
    <w:lvl w:ilvl="0" w:tplc="C18CCA2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8CA3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6B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24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68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0E3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69A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62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A6207"/>
    <w:multiLevelType w:val="hybridMultilevel"/>
    <w:tmpl w:val="E104F796"/>
    <w:lvl w:ilvl="0" w:tplc="CB96C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450E1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FA8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9AA3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3024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C06F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9460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096C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1EF7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D"/>
    <w:rsid w:val="0028148D"/>
    <w:rsid w:val="002B079C"/>
    <w:rsid w:val="007605D2"/>
    <w:rsid w:val="00807A50"/>
    <w:rsid w:val="00AB4A98"/>
    <w:rsid w:val="00B66005"/>
    <w:rsid w:val="00C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FECE"/>
  <w15:docId w15:val="{1198D48C-5852-4469-A5B3-4B233B8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Нарожных Николай Андреевич</cp:lastModifiedBy>
  <cp:revision>23</cp:revision>
  <dcterms:created xsi:type="dcterms:W3CDTF">2024-02-06T01:56:00Z</dcterms:created>
  <dcterms:modified xsi:type="dcterms:W3CDTF">2024-05-07T02:02:00Z</dcterms:modified>
  <dc:language>ru-RU</dc:language>
</cp:coreProperties>
</file>