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0C66" w:rsidRPr="00DB0C66" w:rsidRDefault="00DB0C66">
      <w:pPr>
        <w:pStyle w:val="ConsPlusTitle"/>
        <w:jc w:val="center"/>
        <w:outlineLvl w:val="0"/>
      </w:pPr>
      <w:bookmarkStart w:id="0" w:name="_GoBack"/>
      <w:r w:rsidRPr="00DB0C66">
        <w:t>ПРАВИТЕЛЬСТВО НОВОСИБИРСКОЙ ОБЛАСТИ</w:t>
      </w:r>
    </w:p>
    <w:p w:rsidR="00DB0C66" w:rsidRPr="00DB0C66" w:rsidRDefault="00DB0C66">
      <w:pPr>
        <w:pStyle w:val="ConsPlusTitle"/>
        <w:jc w:val="center"/>
      </w:pPr>
    </w:p>
    <w:p w:rsidR="00DB0C66" w:rsidRPr="00DB0C66" w:rsidRDefault="00DB0C66">
      <w:pPr>
        <w:pStyle w:val="ConsPlusTitle"/>
        <w:jc w:val="center"/>
      </w:pPr>
      <w:r w:rsidRPr="00DB0C66">
        <w:t>ПОСТАНОВЛЕНИЕ</w:t>
      </w:r>
    </w:p>
    <w:p w:rsidR="00DB0C66" w:rsidRPr="00DB0C66" w:rsidRDefault="00DB0C66">
      <w:pPr>
        <w:pStyle w:val="ConsPlusTitle"/>
        <w:jc w:val="center"/>
      </w:pPr>
      <w:r w:rsidRPr="00DB0C66">
        <w:t>от 15 февраля 2022 г. N 43-п</w:t>
      </w:r>
    </w:p>
    <w:p w:rsidR="00DB0C66" w:rsidRPr="00DB0C66" w:rsidRDefault="00DB0C66">
      <w:pPr>
        <w:pStyle w:val="ConsPlusTitle"/>
        <w:jc w:val="center"/>
      </w:pPr>
    </w:p>
    <w:p w:rsidR="00DB0C66" w:rsidRPr="00DB0C66" w:rsidRDefault="00DB0C66">
      <w:pPr>
        <w:pStyle w:val="ConsPlusTitle"/>
        <w:jc w:val="center"/>
      </w:pPr>
      <w:r w:rsidRPr="00DB0C66">
        <w:t>ОБ УТВЕРЖДЕНИИ ПРОГРАММЫ "АНТИКОРРУПЦИОННОЕ ПРОСВЕЩЕНИЕ</w:t>
      </w:r>
    </w:p>
    <w:p w:rsidR="00DB0C66" w:rsidRPr="00DB0C66" w:rsidRDefault="00DB0C66">
      <w:pPr>
        <w:pStyle w:val="ConsPlusTitle"/>
        <w:jc w:val="center"/>
      </w:pPr>
      <w:r w:rsidRPr="00DB0C66">
        <w:t>В НОВОСИБИРСКОЙ ОБЛАСТИ НА 2022 - 2024 ГОДЫ"</w:t>
      </w:r>
    </w:p>
    <w:p w:rsidR="00DB0C66" w:rsidRPr="00DB0C66" w:rsidRDefault="00DB0C66">
      <w:pPr>
        <w:pStyle w:val="ConsPlusNormal"/>
        <w:ind w:firstLine="540"/>
        <w:jc w:val="both"/>
      </w:pPr>
    </w:p>
    <w:p w:rsidR="00DB0C66" w:rsidRPr="00DB0C66" w:rsidRDefault="00DB0C66">
      <w:pPr>
        <w:pStyle w:val="ConsPlusNormal"/>
        <w:ind w:firstLine="540"/>
        <w:jc w:val="both"/>
      </w:pPr>
      <w:r w:rsidRPr="00DB0C66">
        <w:t>В соответствии с пунктом 5 статьи 5 Закона Новосибирской области от 27.04.2010 N 486-ОЗ "О регулировании отношений в сфере противодействия коррупции в Новосибирской области", в целях повышения эффективности просветительских, образовательных и иных мер, направленных на формирование антикоррупционного поведения государственных гражданских служащих, муниципальных служащих, популяризацию в обществе антикоррупционных стандартов и развитие общественного правосознания, принимаемых на территории Новосибирской области, Правительство Новосибирской области постановляет:</w:t>
      </w:r>
    </w:p>
    <w:p w:rsidR="00DB0C66" w:rsidRPr="00DB0C66" w:rsidRDefault="00DB0C66">
      <w:pPr>
        <w:pStyle w:val="ConsPlusNormal"/>
        <w:spacing w:before="220"/>
        <w:ind w:firstLine="540"/>
        <w:jc w:val="both"/>
      </w:pPr>
      <w:r w:rsidRPr="00DB0C66">
        <w:t>1. Утвердить прилагаемую программу "Антикоррупционное просвещение в Новосибирской области на 2022 - 2024 годы" (далее - Программа).</w:t>
      </w:r>
    </w:p>
    <w:p w:rsidR="00DB0C66" w:rsidRPr="00DB0C66" w:rsidRDefault="00DB0C66">
      <w:pPr>
        <w:pStyle w:val="ConsPlusNormal"/>
        <w:spacing w:before="220"/>
        <w:ind w:firstLine="540"/>
        <w:jc w:val="both"/>
      </w:pPr>
      <w:bookmarkStart w:id="1" w:name="P11"/>
      <w:bookmarkEnd w:id="1"/>
      <w:r w:rsidRPr="00DB0C66">
        <w:t>2. Руководителям областных исполнительных органов государственной власти Новосибирской области, являющихся исполнителями мероприятий Программы, обеспечить исполнение мероприятий Программы и представление информации об их исполнении в установленные в Программе сроки в орган Новосибирской области по профилактике коррупционных и иных правонарушений.</w:t>
      </w:r>
    </w:p>
    <w:p w:rsidR="00DB0C66" w:rsidRPr="00DB0C66" w:rsidRDefault="00DB0C66">
      <w:pPr>
        <w:pStyle w:val="ConsPlusNormal"/>
        <w:spacing w:before="220"/>
        <w:ind w:firstLine="540"/>
        <w:jc w:val="both"/>
      </w:pPr>
      <w:r w:rsidRPr="00DB0C66">
        <w:t>3. Органу Новосибирской области по профилактике коррупционных и иных правонарушений обеспечить:</w:t>
      </w:r>
    </w:p>
    <w:p w:rsidR="00DB0C66" w:rsidRPr="00DB0C66" w:rsidRDefault="00DB0C66">
      <w:pPr>
        <w:pStyle w:val="ConsPlusNormal"/>
        <w:spacing w:before="220"/>
        <w:ind w:firstLine="540"/>
        <w:jc w:val="both"/>
      </w:pPr>
      <w:r w:rsidRPr="00DB0C66">
        <w:t>1) исполнение мероприятий Программы, по которым орган Новосибирской области по профилактике коррупционных и иных правонарушений является исполнителем, в установленные в Программе сроки;</w:t>
      </w:r>
    </w:p>
    <w:p w:rsidR="00DB0C66" w:rsidRPr="00DB0C66" w:rsidRDefault="00DB0C66">
      <w:pPr>
        <w:pStyle w:val="ConsPlusNormal"/>
        <w:spacing w:before="220"/>
        <w:ind w:firstLine="540"/>
        <w:jc w:val="both"/>
      </w:pPr>
      <w:r w:rsidRPr="00DB0C66">
        <w:t>2) обобщение информации об исполнении мероприятий Программы в течение 30 календарных дней со дня ее поступления в соответствии с пунктом 2 настоящего постановления;</w:t>
      </w:r>
    </w:p>
    <w:p w:rsidR="00DB0C66" w:rsidRPr="00DB0C66" w:rsidRDefault="00DB0C66">
      <w:pPr>
        <w:pStyle w:val="ConsPlusNormal"/>
        <w:spacing w:before="220"/>
        <w:ind w:firstLine="540"/>
        <w:jc w:val="both"/>
      </w:pPr>
      <w:r w:rsidRPr="00DB0C66">
        <w:t>3) обобщение и анализ итоговой информации о выполнении Программы в целях результативности и объективности ее реализации - до 20 февраля 2025 года;</w:t>
      </w:r>
    </w:p>
    <w:p w:rsidR="00DB0C66" w:rsidRPr="00DB0C66" w:rsidRDefault="00DB0C66">
      <w:pPr>
        <w:pStyle w:val="ConsPlusNormal"/>
        <w:spacing w:before="220"/>
        <w:ind w:firstLine="540"/>
        <w:jc w:val="both"/>
      </w:pPr>
      <w:r w:rsidRPr="00DB0C66">
        <w:t>4) размещение информации о проведенных в рамках исполнения Программы мероприятиях на официальном сайте Губернатора Новосибирской области и Правительства Новосибирской области в информационно-телекоммуникационной сети "Интернет".</w:t>
      </w:r>
    </w:p>
    <w:p w:rsidR="00DB0C66" w:rsidRPr="00DB0C66" w:rsidRDefault="00DB0C66">
      <w:pPr>
        <w:pStyle w:val="ConsPlusNormal"/>
        <w:spacing w:before="220"/>
        <w:ind w:firstLine="540"/>
        <w:jc w:val="both"/>
      </w:pPr>
      <w:r w:rsidRPr="00DB0C66">
        <w:t>4. Контроль за исполнением настоящего постановления возложить на первого заместителя Губернатора Новосибирской области Петухова Ю.Ф.</w:t>
      </w:r>
    </w:p>
    <w:p w:rsidR="00DB0C66" w:rsidRPr="00DB0C66" w:rsidRDefault="00DB0C66">
      <w:pPr>
        <w:pStyle w:val="ConsPlusNormal"/>
        <w:ind w:firstLine="540"/>
        <w:jc w:val="both"/>
      </w:pPr>
    </w:p>
    <w:p w:rsidR="00DB0C66" w:rsidRPr="00DB0C66" w:rsidRDefault="00DB0C66">
      <w:pPr>
        <w:pStyle w:val="ConsPlusNormal"/>
        <w:jc w:val="right"/>
      </w:pPr>
      <w:r w:rsidRPr="00DB0C66">
        <w:t>Губернатор Новосибирской области</w:t>
      </w:r>
    </w:p>
    <w:p w:rsidR="00DB0C66" w:rsidRPr="00DB0C66" w:rsidRDefault="00DB0C66">
      <w:pPr>
        <w:pStyle w:val="ConsPlusNormal"/>
        <w:jc w:val="right"/>
      </w:pPr>
      <w:r w:rsidRPr="00DB0C66">
        <w:t>А.А.ТРАВНИКОВ</w:t>
      </w:r>
    </w:p>
    <w:p w:rsidR="00DB0C66" w:rsidRPr="00DB0C66" w:rsidRDefault="00DB0C66">
      <w:pPr>
        <w:rPr>
          <w:rFonts w:ascii="Calibri" w:eastAsiaTheme="minorEastAsia" w:hAnsi="Calibri" w:cs="Calibri"/>
          <w:lang w:eastAsia="ru-RU"/>
        </w:rPr>
      </w:pPr>
      <w:r w:rsidRPr="00DB0C66">
        <w:rPr>
          <w:rFonts w:ascii="Calibri" w:eastAsiaTheme="minorEastAsia" w:hAnsi="Calibri" w:cs="Calibri"/>
          <w:lang w:eastAsia="ru-RU"/>
        </w:rPr>
        <w:br w:type="page"/>
      </w:r>
    </w:p>
    <w:p w:rsidR="00DB0C66" w:rsidRPr="00DB0C66" w:rsidRDefault="00DB0C66">
      <w:pPr>
        <w:pStyle w:val="ConsPlusNormal"/>
        <w:jc w:val="right"/>
        <w:outlineLvl w:val="0"/>
        <w:sectPr w:rsidR="00DB0C66" w:rsidRPr="00DB0C66" w:rsidSect="00DB0C66">
          <w:pgSz w:w="11905" w:h="16838"/>
          <w:pgMar w:top="1134" w:right="850" w:bottom="1134" w:left="1701" w:header="0" w:footer="0" w:gutter="0"/>
          <w:cols w:space="720"/>
          <w:titlePg/>
          <w:docGrid w:linePitch="299"/>
        </w:sectPr>
      </w:pPr>
    </w:p>
    <w:p w:rsidR="00DB0C66" w:rsidRPr="00DB0C66" w:rsidRDefault="00DB0C66">
      <w:pPr>
        <w:pStyle w:val="ConsPlusNormal"/>
        <w:jc w:val="right"/>
        <w:outlineLvl w:val="0"/>
      </w:pPr>
      <w:r w:rsidRPr="00DB0C66">
        <w:lastRenderedPageBreak/>
        <w:t>Утверждена</w:t>
      </w:r>
    </w:p>
    <w:p w:rsidR="00DB0C66" w:rsidRPr="00DB0C66" w:rsidRDefault="00DB0C66">
      <w:pPr>
        <w:pStyle w:val="ConsPlusNormal"/>
        <w:jc w:val="right"/>
      </w:pPr>
      <w:r w:rsidRPr="00DB0C66">
        <w:t>постановлением</w:t>
      </w:r>
    </w:p>
    <w:p w:rsidR="00DB0C66" w:rsidRPr="00DB0C66" w:rsidRDefault="00DB0C66">
      <w:pPr>
        <w:pStyle w:val="ConsPlusNormal"/>
        <w:jc w:val="right"/>
      </w:pPr>
      <w:r w:rsidRPr="00DB0C66">
        <w:t>Правительства Новосибирской области</w:t>
      </w:r>
    </w:p>
    <w:p w:rsidR="00DB0C66" w:rsidRPr="00DB0C66" w:rsidRDefault="00DB0C66">
      <w:pPr>
        <w:pStyle w:val="ConsPlusNormal"/>
      </w:pPr>
    </w:p>
    <w:p w:rsidR="00DB0C66" w:rsidRPr="00DB0C66" w:rsidRDefault="00DB0C66" w:rsidP="00DB0C66">
      <w:pPr>
        <w:pStyle w:val="ConsPlusNormal"/>
        <w:jc w:val="right"/>
      </w:pPr>
      <w:r w:rsidRPr="00DB0C66">
        <w:t>от 15.02.2022 N 43-п</w:t>
      </w:r>
    </w:p>
    <w:p w:rsidR="00DB0C66" w:rsidRPr="00DB0C66" w:rsidRDefault="00DB0C66" w:rsidP="00DB0C66">
      <w:pPr>
        <w:pStyle w:val="ConsPlusNormal"/>
        <w:ind w:firstLine="540"/>
        <w:jc w:val="both"/>
      </w:pPr>
    </w:p>
    <w:p w:rsidR="00DB0C66" w:rsidRPr="00DB0C66" w:rsidRDefault="00DB0C66" w:rsidP="00DB0C66">
      <w:pPr>
        <w:pStyle w:val="ConsPlusTitle"/>
        <w:jc w:val="center"/>
      </w:pPr>
      <w:bookmarkStart w:id="2" w:name="P31"/>
      <w:bookmarkEnd w:id="2"/>
      <w:r w:rsidRPr="00DB0C66">
        <w:t>ПРОГРАММА</w:t>
      </w:r>
    </w:p>
    <w:p w:rsidR="00DB0C66" w:rsidRPr="00DB0C66" w:rsidRDefault="00DB0C66" w:rsidP="00DB0C66">
      <w:pPr>
        <w:pStyle w:val="ConsPlusTitle"/>
        <w:jc w:val="center"/>
      </w:pPr>
      <w:r w:rsidRPr="00DB0C66">
        <w:t>"АНТИКОРРУПЦИОННОЕ ПРОСВЕЩЕНИЕ В НОВОСИБИРСКОЙ</w:t>
      </w:r>
    </w:p>
    <w:p w:rsidR="00DB0C66" w:rsidRPr="00DB0C66" w:rsidRDefault="00DB0C66" w:rsidP="00DB0C66">
      <w:pPr>
        <w:pStyle w:val="ConsPlusTitle"/>
        <w:jc w:val="center"/>
      </w:pPr>
      <w:r w:rsidRPr="00DB0C66">
        <w:t>ОБЛАСТИ НА 2022 - 2024 ГОДЫ"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2778"/>
        <w:gridCol w:w="4422"/>
        <w:gridCol w:w="1644"/>
        <w:gridCol w:w="1757"/>
        <w:gridCol w:w="2438"/>
      </w:tblGrid>
      <w:tr w:rsidR="00DB0C66" w:rsidRPr="00DB0C66">
        <w:tc>
          <w:tcPr>
            <w:tcW w:w="567" w:type="dxa"/>
          </w:tcPr>
          <w:p w:rsidR="00DB0C66" w:rsidRPr="00DB0C66" w:rsidRDefault="00DB0C66">
            <w:pPr>
              <w:pStyle w:val="ConsPlusNormal"/>
              <w:jc w:val="center"/>
            </w:pPr>
            <w:r w:rsidRPr="00DB0C66">
              <w:t>N п/п</w:t>
            </w:r>
          </w:p>
        </w:tc>
        <w:tc>
          <w:tcPr>
            <w:tcW w:w="7200" w:type="dxa"/>
            <w:gridSpan w:val="2"/>
          </w:tcPr>
          <w:p w:rsidR="00DB0C66" w:rsidRPr="00DB0C66" w:rsidRDefault="00DB0C66">
            <w:pPr>
              <w:pStyle w:val="ConsPlusNormal"/>
              <w:jc w:val="center"/>
            </w:pPr>
            <w:r w:rsidRPr="00DB0C66">
              <w:t>Наименование мероприятия</w:t>
            </w:r>
          </w:p>
        </w:tc>
        <w:tc>
          <w:tcPr>
            <w:tcW w:w="1644" w:type="dxa"/>
          </w:tcPr>
          <w:p w:rsidR="00DB0C66" w:rsidRPr="00DB0C66" w:rsidRDefault="00DB0C66">
            <w:pPr>
              <w:pStyle w:val="ConsPlusNormal"/>
              <w:jc w:val="center"/>
            </w:pPr>
            <w:r w:rsidRPr="00DB0C66">
              <w:t>Исполнитель</w:t>
            </w:r>
          </w:p>
        </w:tc>
        <w:tc>
          <w:tcPr>
            <w:tcW w:w="1757" w:type="dxa"/>
          </w:tcPr>
          <w:p w:rsidR="00DB0C66" w:rsidRPr="00DB0C66" w:rsidRDefault="00DB0C66">
            <w:pPr>
              <w:pStyle w:val="ConsPlusNormal"/>
              <w:jc w:val="center"/>
            </w:pPr>
            <w:r w:rsidRPr="00DB0C66">
              <w:t>Сроки представления в ОПК НСО информации ОИОГВ НСО об исполнении мероприятия</w:t>
            </w:r>
          </w:p>
        </w:tc>
        <w:tc>
          <w:tcPr>
            <w:tcW w:w="2438" w:type="dxa"/>
          </w:tcPr>
          <w:p w:rsidR="00DB0C66" w:rsidRPr="00DB0C66" w:rsidRDefault="00DB0C66">
            <w:pPr>
              <w:pStyle w:val="ConsPlusNormal"/>
              <w:jc w:val="center"/>
            </w:pPr>
            <w:r w:rsidRPr="00DB0C66">
              <w:t>Результат выполнения мероприятия</w:t>
            </w:r>
          </w:p>
        </w:tc>
      </w:tr>
      <w:tr w:rsidR="00DB0C66" w:rsidRPr="00DB0C66">
        <w:tc>
          <w:tcPr>
            <w:tcW w:w="567" w:type="dxa"/>
          </w:tcPr>
          <w:p w:rsidR="00DB0C66" w:rsidRPr="00DB0C66" w:rsidRDefault="00DB0C66">
            <w:pPr>
              <w:pStyle w:val="ConsPlusNormal"/>
              <w:jc w:val="center"/>
            </w:pPr>
            <w:r w:rsidRPr="00DB0C66">
              <w:t>1</w:t>
            </w:r>
          </w:p>
        </w:tc>
        <w:tc>
          <w:tcPr>
            <w:tcW w:w="2778" w:type="dxa"/>
          </w:tcPr>
          <w:p w:rsidR="00DB0C66" w:rsidRPr="00DB0C66" w:rsidRDefault="00DB0C66">
            <w:pPr>
              <w:pStyle w:val="ConsPlusNormal"/>
              <w:jc w:val="center"/>
            </w:pPr>
            <w:r w:rsidRPr="00DB0C66">
              <w:t>2</w:t>
            </w:r>
          </w:p>
        </w:tc>
        <w:tc>
          <w:tcPr>
            <w:tcW w:w="4422" w:type="dxa"/>
          </w:tcPr>
          <w:p w:rsidR="00DB0C66" w:rsidRPr="00DB0C66" w:rsidRDefault="00DB0C66">
            <w:pPr>
              <w:pStyle w:val="ConsPlusNormal"/>
              <w:jc w:val="center"/>
            </w:pPr>
            <w:r w:rsidRPr="00DB0C66">
              <w:t>3</w:t>
            </w:r>
          </w:p>
        </w:tc>
        <w:tc>
          <w:tcPr>
            <w:tcW w:w="1644" w:type="dxa"/>
          </w:tcPr>
          <w:p w:rsidR="00DB0C66" w:rsidRPr="00DB0C66" w:rsidRDefault="00DB0C66">
            <w:pPr>
              <w:pStyle w:val="ConsPlusNormal"/>
              <w:jc w:val="center"/>
            </w:pPr>
            <w:r w:rsidRPr="00DB0C66">
              <w:t>4</w:t>
            </w:r>
          </w:p>
        </w:tc>
        <w:tc>
          <w:tcPr>
            <w:tcW w:w="1757" w:type="dxa"/>
          </w:tcPr>
          <w:p w:rsidR="00DB0C66" w:rsidRPr="00DB0C66" w:rsidRDefault="00DB0C66">
            <w:pPr>
              <w:pStyle w:val="ConsPlusNormal"/>
              <w:jc w:val="center"/>
            </w:pPr>
            <w:r w:rsidRPr="00DB0C66">
              <w:t>5</w:t>
            </w:r>
          </w:p>
        </w:tc>
        <w:tc>
          <w:tcPr>
            <w:tcW w:w="2438" w:type="dxa"/>
          </w:tcPr>
          <w:p w:rsidR="00DB0C66" w:rsidRPr="00DB0C66" w:rsidRDefault="00DB0C66">
            <w:pPr>
              <w:pStyle w:val="ConsPlusNormal"/>
              <w:jc w:val="center"/>
            </w:pPr>
            <w:r w:rsidRPr="00DB0C66">
              <w:t>6</w:t>
            </w:r>
          </w:p>
        </w:tc>
      </w:tr>
      <w:tr w:rsidR="00DB0C66" w:rsidRPr="00DB0C66">
        <w:tc>
          <w:tcPr>
            <w:tcW w:w="567" w:type="dxa"/>
            <w:vMerge w:val="restart"/>
          </w:tcPr>
          <w:p w:rsidR="00DB0C66" w:rsidRPr="00DB0C66" w:rsidRDefault="00DB0C66">
            <w:pPr>
              <w:pStyle w:val="ConsPlusNormal"/>
              <w:jc w:val="center"/>
            </w:pPr>
            <w:r w:rsidRPr="00DB0C66">
              <w:t>1</w:t>
            </w:r>
          </w:p>
        </w:tc>
        <w:tc>
          <w:tcPr>
            <w:tcW w:w="2778" w:type="dxa"/>
            <w:vMerge w:val="restart"/>
          </w:tcPr>
          <w:p w:rsidR="00DB0C66" w:rsidRPr="00DB0C66" w:rsidRDefault="00DB0C66">
            <w:pPr>
              <w:pStyle w:val="ConsPlusNormal"/>
            </w:pPr>
            <w:r w:rsidRPr="00DB0C66">
              <w:t>Информирование населения о положениях законодательства о противодействии коррупции, в том числе об ответственности за совершение коррупционных правонарушений, о мерах, принимаемых в сфере противодействия коррупции, путем:</w:t>
            </w:r>
          </w:p>
        </w:tc>
        <w:tc>
          <w:tcPr>
            <w:tcW w:w="4422" w:type="dxa"/>
          </w:tcPr>
          <w:p w:rsidR="00DB0C66" w:rsidRPr="00DB0C66" w:rsidRDefault="00DB0C66">
            <w:pPr>
              <w:pStyle w:val="ConsPlusNormal"/>
            </w:pPr>
            <w:r w:rsidRPr="00DB0C66">
              <w:t>1) размещения и актуализации соответствующей информации на официальном сайте Губернатора Новосибирской области и Правительства Новосибирской области, официальных сайтах ОИОГВ НСО в информационно-телекоммуникационной сети "Интернет"</w:t>
            </w:r>
          </w:p>
        </w:tc>
        <w:tc>
          <w:tcPr>
            <w:tcW w:w="1644" w:type="dxa"/>
          </w:tcPr>
          <w:p w:rsidR="00DB0C66" w:rsidRPr="00DB0C66" w:rsidRDefault="00DB0C66">
            <w:pPr>
              <w:pStyle w:val="ConsPlusNormal"/>
            </w:pPr>
            <w:r w:rsidRPr="00DB0C66">
              <w:t>ОПК НСО;</w:t>
            </w:r>
          </w:p>
          <w:p w:rsidR="00DB0C66" w:rsidRPr="00DB0C66" w:rsidRDefault="00DB0C66">
            <w:pPr>
              <w:pStyle w:val="ConsPlusNormal"/>
            </w:pPr>
            <w:r w:rsidRPr="00DB0C66">
              <w:t>ОИОГВ НСО</w:t>
            </w:r>
          </w:p>
        </w:tc>
        <w:tc>
          <w:tcPr>
            <w:tcW w:w="1757" w:type="dxa"/>
            <w:vMerge w:val="restart"/>
          </w:tcPr>
          <w:p w:rsidR="00DB0C66" w:rsidRPr="00DB0C66" w:rsidRDefault="00DB0C66">
            <w:pPr>
              <w:pStyle w:val="ConsPlusNormal"/>
            </w:pPr>
            <w:r w:rsidRPr="00DB0C66">
              <w:t>представление информации за полугодие - до 20 июля отчетного года,</w:t>
            </w:r>
          </w:p>
          <w:p w:rsidR="00DB0C66" w:rsidRPr="00DB0C66" w:rsidRDefault="00DB0C66">
            <w:pPr>
              <w:pStyle w:val="ConsPlusNormal"/>
            </w:pPr>
            <w:r w:rsidRPr="00DB0C66">
              <w:t>представление информации за отчетный год - до 20 января года, следующего за отчетным</w:t>
            </w:r>
          </w:p>
        </w:tc>
        <w:tc>
          <w:tcPr>
            <w:tcW w:w="2438" w:type="dxa"/>
            <w:vMerge w:val="restart"/>
          </w:tcPr>
          <w:p w:rsidR="00DB0C66" w:rsidRPr="00DB0C66" w:rsidRDefault="00DB0C66">
            <w:pPr>
              <w:pStyle w:val="ConsPlusNormal"/>
            </w:pPr>
            <w:r w:rsidRPr="00DB0C66">
              <w:t>повышение уровня правосознания и правовой грамотности населения в сфере противодействия коррупции</w:t>
            </w:r>
          </w:p>
        </w:tc>
      </w:tr>
      <w:tr w:rsidR="00DB0C66" w:rsidRPr="00DB0C66">
        <w:tc>
          <w:tcPr>
            <w:tcW w:w="567" w:type="dxa"/>
            <w:vMerge/>
          </w:tcPr>
          <w:p w:rsidR="00DB0C66" w:rsidRPr="00DB0C66" w:rsidRDefault="00DB0C66">
            <w:pPr>
              <w:pStyle w:val="ConsPlusNormal"/>
            </w:pPr>
          </w:p>
        </w:tc>
        <w:tc>
          <w:tcPr>
            <w:tcW w:w="2778" w:type="dxa"/>
            <w:vMerge/>
          </w:tcPr>
          <w:p w:rsidR="00DB0C66" w:rsidRPr="00DB0C66" w:rsidRDefault="00DB0C66">
            <w:pPr>
              <w:pStyle w:val="ConsPlusNormal"/>
            </w:pPr>
          </w:p>
        </w:tc>
        <w:tc>
          <w:tcPr>
            <w:tcW w:w="4422" w:type="dxa"/>
          </w:tcPr>
          <w:p w:rsidR="00DB0C66" w:rsidRPr="00DB0C66" w:rsidRDefault="00DB0C66">
            <w:pPr>
              <w:pStyle w:val="ConsPlusNormal"/>
            </w:pPr>
            <w:r w:rsidRPr="00DB0C66">
              <w:t xml:space="preserve">2) использования средств наглядной информации (стендов, плакатов, брошюр, памяток, трансляции видеоматериалов) в помещениях, занимаемых ОИОГВ, в том числе служебных помещениях руководителей ОИОГВ НСО, их заместителей, сотрудников ОИОГВ НСО, участвующих в </w:t>
            </w:r>
            <w:r w:rsidRPr="00DB0C66">
              <w:lastRenderedPageBreak/>
              <w:t>оказании государственных услуг, в приеме граждан</w:t>
            </w:r>
          </w:p>
        </w:tc>
        <w:tc>
          <w:tcPr>
            <w:tcW w:w="1644" w:type="dxa"/>
          </w:tcPr>
          <w:p w:rsidR="00DB0C66" w:rsidRPr="00DB0C66" w:rsidRDefault="00DB0C66">
            <w:pPr>
              <w:pStyle w:val="ConsPlusNormal"/>
            </w:pPr>
            <w:r w:rsidRPr="00DB0C66">
              <w:lastRenderedPageBreak/>
              <w:t>ОИОГВ НСО</w:t>
            </w:r>
          </w:p>
        </w:tc>
        <w:tc>
          <w:tcPr>
            <w:tcW w:w="1757" w:type="dxa"/>
            <w:vMerge/>
          </w:tcPr>
          <w:p w:rsidR="00DB0C66" w:rsidRPr="00DB0C66" w:rsidRDefault="00DB0C66">
            <w:pPr>
              <w:pStyle w:val="ConsPlusNormal"/>
            </w:pPr>
          </w:p>
        </w:tc>
        <w:tc>
          <w:tcPr>
            <w:tcW w:w="2438" w:type="dxa"/>
            <w:vMerge/>
          </w:tcPr>
          <w:p w:rsidR="00DB0C66" w:rsidRPr="00DB0C66" w:rsidRDefault="00DB0C66">
            <w:pPr>
              <w:pStyle w:val="ConsPlusNormal"/>
            </w:pPr>
          </w:p>
        </w:tc>
      </w:tr>
      <w:tr w:rsidR="00DB0C66" w:rsidRPr="00DB0C66">
        <w:tc>
          <w:tcPr>
            <w:tcW w:w="567" w:type="dxa"/>
            <w:vMerge w:val="restart"/>
          </w:tcPr>
          <w:p w:rsidR="00DB0C66" w:rsidRPr="00DB0C66" w:rsidRDefault="00DB0C66">
            <w:pPr>
              <w:pStyle w:val="ConsPlusNormal"/>
              <w:jc w:val="center"/>
            </w:pPr>
            <w:r w:rsidRPr="00DB0C66">
              <w:t>2</w:t>
            </w:r>
          </w:p>
        </w:tc>
        <w:tc>
          <w:tcPr>
            <w:tcW w:w="2778" w:type="dxa"/>
            <w:vMerge w:val="restart"/>
          </w:tcPr>
          <w:p w:rsidR="00DB0C66" w:rsidRPr="00DB0C66" w:rsidRDefault="00DB0C66">
            <w:pPr>
              <w:pStyle w:val="ConsPlusNormal"/>
            </w:pPr>
            <w:r w:rsidRPr="00DB0C66">
              <w:t>Обеспечение информирования государственными учреждениями (организациями) населения о положениях законодательства о противодействии коррупции, в том числе об ответственности за совершение коррупционных правонарушений, о мерах, принимаемых в сфере противодействия коррупции, путем:</w:t>
            </w:r>
          </w:p>
        </w:tc>
        <w:tc>
          <w:tcPr>
            <w:tcW w:w="4422" w:type="dxa"/>
          </w:tcPr>
          <w:p w:rsidR="00DB0C66" w:rsidRPr="00DB0C66" w:rsidRDefault="00DB0C66">
            <w:pPr>
              <w:pStyle w:val="ConsPlusNormal"/>
            </w:pPr>
            <w:r w:rsidRPr="00DB0C66">
              <w:t>1) размещения и актуализации соответствующей информации на официальных сайтах государственных учреждений (организаций) в информационно-телекоммуникационной сети "Интернет"</w:t>
            </w:r>
          </w:p>
        </w:tc>
        <w:tc>
          <w:tcPr>
            <w:tcW w:w="1644" w:type="dxa"/>
            <w:vMerge w:val="restart"/>
          </w:tcPr>
          <w:p w:rsidR="00DB0C66" w:rsidRPr="00DB0C66" w:rsidRDefault="00DB0C66">
            <w:pPr>
              <w:pStyle w:val="ConsPlusNormal"/>
            </w:pPr>
            <w:r w:rsidRPr="00DB0C66">
              <w:t>ОИОГВ НСО,</w:t>
            </w:r>
          </w:p>
          <w:p w:rsidR="00DB0C66" w:rsidRPr="00DB0C66" w:rsidRDefault="00DB0C66">
            <w:pPr>
              <w:pStyle w:val="ConsPlusNormal"/>
            </w:pPr>
            <w:r w:rsidRPr="00DB0C66">
              <w:t>в ведении которых находятся государственные учреждения (организации)</w:t>
            </w:r>
          </w:p>
        </w:tc>
        <w:tc>
          <w:tcPr>
            <w:tcW w:w="1757" w:type="dxa"/>
            <w:vMerge w:val="restart"/>
          </w:tcPr>
          <w:p w:rsidR="00DB0C66" w:rsidRPr="00DB0C66" w:rsidRDefault="00DB0C66">
            <w:pPr>
              <w:pStyle w:val="ConsPlusNormal"/>
            </w:pPr>
            <w:r w:rsidRPr="00DB0C66">
              <w:t>представление информации за полугодие - до 20 июля отчетного года,</w:t>
            </w:r>
          </w:p>
          <w:p w:rsidR="00DB0C66" w:rsidRPr="00DB0C66" w:rsidRDefault="00DB0C66">
            <w:pPr>
              <w:pStyle w:val="ConsPlusNormal"/>
            </w:pPr>
            <w:r w:rsidRPr="00DB0C66">
              <w:t>представление информации за отчетный год - до 20 января года, следующего за отчетным</w:t>
            </w:r>
          </w:p>
        </w:tc>
        <w:tc>
          <w:tcPr>
            <w:tcW w:w="2438" w:type="dxa"/>
            <w:vMerge w:val="restart"/>
          </w:tcPr>
          <w:p w:rsidR="00DB0C66" w:rsidRPr="00DB0C66" w:rsidRDefault="00DB0C66">
            <w:pPr>
              <w:pStyle w:val="ConsPlusNormal"/>
            </w:pPr>
            <w:r w:rsidRPr="00DB0C66">
              <w:t>повышение уровня правосознания и правовой грамотности работников государственных учреждений (организаций), населения в сфере противодействия коррупции</w:t>
            </w:r>
          </w:p>
        </w:tc>
      </w:tr>
      <w:tr w:rsidR="00DB0C66" w:rsidRPr="00DB0C66">
        <w:tc>
          <w:tcPr>
            <w:tcW w:w="567" w:type="dxa"/>
            <w:vMerge/>
          </w:tcPr>
          <w:p w:rsidR="00DB0C66" w:rsidRPr="00DB0C66" w:rsidRDefault="00DB0C66">
            <w:pPr>
              <w:pStyle w:val="ConsPlusNormal"/>
            </w:pPr>
          </w:p>
        </w:tc>
        <w:tc>
          <w:tcPr>
            <w:tcW w:w="2778" w:type="dxa"/>
            <w:vMerge/>
          </w:tcPr>
          <w:p w:rsidR="00DB0C66" w:rsidRPr="00DB0C66" w:rsidRDefault="00DB0C66">
            <w:pPr>
              <w:pStyle w:val="ConsPlusNormal"/>
            </w:pPr>
          </w:p>
        </w:tc>
        <w:tc>
          <w:tcPr>
            <w:tcW w:w="4422" w:type="dxa"/>
          </w:tcPr>
          <w:p w:rsidR="00DB0C66" w:rsidRPr="00DB0C66" w:rsidRDefault="00DB0C66">
            <w:pPr>
              <w:pStyle w:val="ConsPlusNormal"/>
            </w:pPr>
            <w:r w:rsidRPr="00DB0C66">
              <w:t>2) использования средств наглядной информации (стендов, плакатов, брошюр, памяток, транслирование видеоматериалов) в помещениях, занимаемых государственными учреждениями (организациями), в том числе служебных помещениях руководителей и сотрудников государственных учреждений (организаций)</w:t>
            </w:r>
          </w:p>
        </w:tc>
        <w:tc>
          <w:tcPr>
            <w:tcW w:w="1644" w:type="dxa"/>
            <w:vMerge/>
          </w:tcPr>
          <w:p w:rsidR="00DB0C66" w:rsidRPr="00DB0C66" w:rsidRDefault="00DB0C66">
            <w:pPr>
              <w:pStyle w:val="ConsPlusNormal"/>
            </w:pPr>
          </w:p>
        </w:tc>
        <w:tc>
          <w:tcPr>
            <w:tcW w:w="1757" w:type="dxa"/>
            <w:vMerge/>
          </w:tcPr>
          <w:p w:rsidR="00DB0C66" w:rsidRPr="00DB0C66" w:rsidRDefault="00DB0C66">
            <w:pPr>
              <w:pStyle w:val="ConsPlusNormal"/>
            </w:pPr>
          </w:p>
        </w:tc>
        <w:tc>
          <w:tcPr>
            <w:tcW w:w="2438" w:type="dxa"/>
            <w:vMerge/>
          </w:tcPr>
          <w:p w:rsidR="00DB0C66" w:rsidRPr="00DB0C66" w:rsidRDefault="00DB0C66">
            <w:pPr>
              <w:pStyle w:val="ConsPlusNormal"/>
            </w:pPr>
          </w:p>
        </w:tc>
      </w:tr>
      <w:tr w:rsidR="00DB0C66" w:rsidRPr="00DB0C66">
        <w:tc>
          <w:tcPr>
            <w:tcW w:w="567" w:type="dxa"/>
            <w:vMerge w:val="restart"/>
          </w:tcPr>
          <w:p w:rsidR="00DB0C66" w:rsidRPr="00DB0C66" w:rsidRDefault="00DB0C66">
            <w:pPr>
              <w:pStyle w:val="ConsPlusNormal"/>
              <w:jc w:val="center"/>
            </w:pPr>
            <w:r w:rsidRPr="00DB0C66">
              <w:t>3</w:t>
            </w:r>
          </w:p>
        </w:tc>
        <w:tc>
          <w:tcPr>
            <w:tcW w:w="2778" w:type="dxa"/>
            <w:vMerge w:val="restart"/>
          </w:tcPr>
          <w:p w:rsidR="00DB0C66" w:rsidRPr="00DB0C66" w:rsidRDefault="00DB0C66">
            <w:pPr>
              <w:pStyle w:val="ConsPlusNormal"/>
            </w:pPr>
            <w:r w:rsidRPr="00DB0C66">
              <w:t xml:space="preserve">Подготовка и распространение методических, информационных и разъяснительных материалов об антикоррупционных стандартах поведения для граждан, претендующих на замещение должностей государственной гражданской службы Новосибирской области, </w:t>
            </w:r>
            <w:r w:rsidRPr="00DB0C66">
              <w:lastRenderedPageBreak/>
              <w:t>лиц, замещающих государственные должности Новосибирской области, должности государственной гражданской службы Новосибирской области, а также работников государственных учреждений (организаций):</w:t>
            </w:r>
          </w:p>
        </w:tc>
        <w:tc>
          <w:tcPr>
            <w:tcW w:w="4422" w:type="dxa"/>
          </w:tcPr>
          <w:p w:rsidR="00DB0C66" w:rsidRPr="00DB0C66" w:rsidRDefault="00DB0C66">
            <w:pPr>
              <w:pStyle w:val="ConsPlusNormal"/>
            </w:pPr>
            <w:r w:rsidRPr="00DB0C66">
              <w:lastRenderedPageBreak/>
              <w:t>1) актуализация действующих и разработка новых методических и информационно-разъяснительных материалов</w:t>
            </w:r>
          </w:p>
        </w:tc>
        <w:tc>
          <w:tcPr>
            <w:tcW w:w="1644" w:type="dxa"/>
          </w:tcPr>
          <w:p w:rsidR="00DB0C66" w:rsidRPr="00DB0C66" w:rsidRDefault="00DB0C66">
            <w:pPr>
              <w:pStyle w:val="ConsPlusNormal"/>
            </w:pPr>
            <w:r w:rsidRPr="00DB0C66">
              <w:t>ОПК НСО;</w:t>
            </w:r>
          </w:p>
          <w:p w:rsidR="00DB0C66" w:rsidRPr="00DB0C66" w:rsidRDefault="00DB0C66">
            <w:pPr>
              <w:pStyle w:val="ConsPlusNormal"/>
            </w:pPr>
            <w:r w:rsidRPr="00DB0C66">
              <w:t>ОИОГВ НСО</w:t>
            </w:r>
          </w:p>
        </w:tc>
        <w:tc>
          <w:tcPr>
            <w:tcW w:w="1757" w:type="dxa"/>
          </w:tcPr>
          <w:p w:rsidR="00DB0C66" w:rsidRPr="00DB0C66" w:rsidRDefault="00DB0C66">
            <w:pPr>
              <w:pStyle w:val="ConsPlusNormal"/>
            </w:pPr>
            <w:r w:rsidRPr="00DB0C66">
              <w:t>представление информации за полугодие - до 20 июля отчетного года,</w:t>
            </w:r>
          </w:p>
          <w:p w:rsidR="00DB0C66" w:rsidRPr="00DB0C66" w:rsidRDefault="00DB0C66">
            <w:pPr>
              <w:pStyle w:val="ConsPlusNormal"/>
            </w:pPr>
            <w:r w:rsidRPr="00DB0C66">
              <w:t>представление информации за отчетный год - до 20 января года, следующего за отчетным</w:t>
            </w:r>
          </w:p>
        </w:tc>
        <w:tc>
          <w:tcPr>
            <w:tcW w:w="2438" w:type="dxa"/>
            <w:vMerge w:val="restart"/>
          </w:tcPr>
          <w:p w:rsidR="00DB0C66" w:rsidRPr="00DB0C66" w:rsidRDefault="00DB0C66">
            <w:pPr>
              <w:pStyle w:val="ConsPlusNormal"/>
            </w:pPr>
            <w:r w:rsidRPr="00DB0C66">
              <w:t xml:space="preserve">повышение уровня правосознания и правовой грамотности в сфере противодействия коррупции лиц, замещающих государственные должности Новосибирской области, должности государственной гражданской службы Новосибирской </w:t>
            </w:r>
            <w:r w:rsidRPr="00DB0C66">
              <w:lastRenderedPageBreak/>
              <w:t>области, работников государственных учреждений (организаций)</w:t>
            </w:r>
          </w:p>
        </w:tc>
      </w:tr>
      <w:tr w:rsidR="00DB0C66" w:rsidRPr="00DB0C66">
        <w:tc>
          <w:tcPr>
            <w:tcW w:w="567" w:type="dxa"/>
            <w:vMerge/>
          </w:tcPr>
          <w:p w:rsidR="00DB0C66" w:rsidRPr="00DB0C66" w:rsidRDefault="00DB0C66">
            <w:pPr>
              <w:pStyle w:val="ConsPlusNormal"/>
            </w:pPr>
          </w:p>
        </w:tc>
        <w:tc>
          <w:tcPr>
            <w:tcW w:w="2778" w:type="dxa"/>
            <w:vMerge/>
          </w:tcPr>
          <w:p w:rsidR="00DB0C66" w:rsidRPr="00DB0C66" w:rsidRDefault="00DB0C66">
            <w:pPr>
              <w:pStyle w:val="ConsPlusNormal"/>
            </w:pPr>
          </w:p>
        </w:tc>
        <w:tc>
          <w:tcPr>
            <w:tcW w:w="4422" w:type="dxa"/>
          </w:tcPr>
          <w:p w:rsidR="00DB0C66" w:rsidRPr="00DB0C66" w:rsidRDefault="00DB0C66">
            <w:pPr>
              <w:pStyle w:val="ConsPlusNormal"/>
            </w:pPr>
            <w:r w:rsidRPr="00DB0C66">
              <w:t xml:space="preserve">2) тиражирование методических, </w:t>
            </w:r>
            <w:r w:rsidRPr="00DB0C66">
              <w:lastRenderedPageBreak/>
              <w:t>информационных и разъяснительных материалов, подготовленных ОПК НСО</w:t>
            </w:r>
          </w:p>
        </w:tc>
        <w:tc>
          <w:tcPr>
            <w:tcW w:w="1644" w:type="dxa"/>
          </w:tcPr>
          <w:p w:rsidR="00DB0C66" w:rsidRPr="00DB0C66" w:rsidRDefault="00DB0C66">
            <w:pPr>
              <w:pStyle w:val="ConsPlusNormal"/>
            </w:pPr>
            <w:r w:rsidRPr="00DB0C66">
              <w:lastRenderedPageBreak/>
              <w:t xml:space="preserve">управление </w:t>
            </w:r>
            <w:r w:rsidRPr="00DB0C66">
              <w:lastRenderedPageBreak/>
              <w:t>делами Губернатора Новосибирской области и Правительства Новосибирской области;</w:t>
            </w:r>
          </w:p>
          <w:p w:rsidR="00DB0C66" w:rsidRPr="00DB0C66" w:rsidRDefault="00DB0C66">
            <w:pPr>
              <w:pStyle w:val="ConsPlusNormal"/>
            </w:pPr>
            <w:r w:rsidRPr="00DB0C66">
              <w:t>ОПК НСО</w:t>
            </w:r>
          </w:p>
        </w:tc>
        <w:tc>
          <w:tcPr>
            <w:tcW w:w="1757" w:type="dxa"/>
          </w:tcPr>
          <w:p w:rsidR="00DB0C66" w:rsidRPr="00DB0C66" w:rsidRDefault="00DB0C66">
            <w:pPr>
              <w:pStyle w:val="ConsPlusNormal"/>
            </w:pPr>
          </w:p>
        </w:tc>
        <w:tc>
          <w:tcPr>
            <w:tcW w:w="2438" w:type="dxa"/>
            <w:vMerge/>
          </w:tcPr>
          <w:p w:rsidR="00DB0C66" w:rsidRPr="00DB0C66" w:rsidRDefault="00DB0C66">
            <w:pPr>
              <w:pStyle w:val="ConsPlusNormal"/>
            </w:pPr>
          </w:p>
        </w:tc>
      </w:tr>
      <w:tr w:rsidR="00DB0C66" w:rsidRPr="00DB0C66">
        <w:tc>
          <w:tcPr>
            <w:tcW w:w="567" w:type="dxa"/>
            <w:vMerge/>
          </w:tcPr>
          <w:p w:rsidR="00DB0C66" w:rsidRPr="00DB0C66" w:rsidRDefault="00DB0C66">
            <w:pPr>
              <w:pStyle w:val="ConsPlusNormal"/>
            </w:pPr>
          </w:p>
        </w:tc>
        <w:tc>
          <w:tcPr>
            <w:tcW w:w="2778" w:type="dxa"/>
            <w:vMerge/>
          </w:tcPr>
          <w:p w:rsidR="00DB0C66" w:rsidRPr="00DB0C66" w:rsidRDefault="00DB0C66">
            <w:pPr>
              <w:pStyle w:val="ConsPlusNormal"/>
            </w:pPr>
          </w:p>
        </w:tc>
        <w:tc>
          <w:tcPr>
            <w:tcW w:w="4422" w:type="dxa"/>
          </w:tcPr>
          <w:p w:rsidR="00DB0C66" w:rsidRPr="00DB0C66" w:rsidRDefault="00DB0C66">
            <w:pPr>
              <w:pStyle w:val="ConsPlusNormal"/>
            </w:pPr>
            <w:r w:rsidRPr="00DB0C66">
              <w:t>3) тиражирование методических, информационных и разъяснительных материалов, подготовленных в ОИОГВ НСО</w:t>
            </w:r>
          </w:p>
        </w:tc>
        <w:tc>
          <w:tcPr>
            <w:tcW w:w="1644" w:type="dxa"/>
          </w:tcPr>
          <w:p w:rsidR="00DB0C66" w:rsidRPr="00DB0C66" w:rsidRDefault="00DB0C66">
            <w:pPr>
              <w:pStyle w:val="ConsPlusNormal"/>
            </w:pPr>
            <w:r w:rsidRPr="00DB0C66">
              <w:t>ОИОГВ НСО</w:t>
            </w:r>
          </w:p>
        </w:tc>
        <w:tc>
          <w:tcPr>
            <w:tcW w:w="1757" w:type="dxa"/>
          </w:tcPr>
          <w:p w:rsidR="00DB0C66" w:rsidRPr="00DB0C66" w:rsidRDefault="00DB0C66">
            <w:pPr>
              <w:pStyle w:val="ConsPlusNormal"/>
            </w:pPr>
            <w:r w:rsidRPr="00DB0C66">
              <w:t>представление информации за полугодие - до 20 июля отчетного года,</w:t>
            </w:r>
          </w:p>
          <w:p w:rsidR="00DB0C66" w:rsidRPr="00DB0C66" w:rsidRDefault="00DB0C66">
            <w:pPr>
              <w:pStyle w:val="ConsPlusNormal"/>
            </w:pPr>
            <w:r w:rsidRPr="00DB0C66">
              <w:t>представление информации за отчетный год - до 20 января года, следующего за отчетным</w:t>
            </w:r>
          </w:p>
        </w:tc>
        <w:tc>
          <w:tcPr>
            <w:tcW w:w="2438" w:type="dxa"/>
            <w:vMerge/>
          </w:tcPr>
          <w:p w:rsidR="00DB0C66" w:rsidRPr="00DB0C66" w:rsidRDefault="00DB0C66">
            <w:pPr>
              <w:pStyle w:val="ConsPlusNormal"/>
            </w:pPr>
          </w:p>
        </w:tc>
      </w:tr>
      <w:tr w:rsidR="00DB0C66" w:rsidRPr="00DB0C66">
        <w:tc>
          <w:tcPr>
            <w:tcW w:w="567" w:type="dxa"/>
            <w:vMerge w:val="restart"/>
          </w:tcPr>
          <w:p w:rsidR="00DB0C66" w:rsidRPr="00DB0C66" w:rsidRDefault="00DB0C66">
            <w:pPr>
              <w:pStyle w:val="ConsPlusNormal"/>
              <w:jc w:val="center"/>
            </w:pPr>
            <w:r w:rsidRPr="00DB0C66">
              <w:t>4</w:t>
            </w:r>
          </w:p>
        </w:tc>
        <w:tc>
          <w:tcPr>
            <w:tcW w:w="2778" w:type="dxa"/>
            <w:vMerge w:val="restart"/>
          </w:tcPr>
          <w:p w:rsidR="00DB0C66" w:rsidRPr="00DB0C66" w:rsidRDefault="00DB0C66">
            <w:pPr>
              <w:pStyle w:val="ConsPlusNormal"/>
            </w:pPr>
            <w:r w:rsidRPr="00DB0C66">
              <w:t>Организация и проведение мероприятий по вопросам противодействия коррупции (совещаний, семинаров-практикумов, тренингов и в других формах), в том числе посредством видео-конференц-связи:</w:t>
            </w:r>
          </w:p>
        </w:tc>
        <w:tc>
          <w:tcPr>
            <w:tcW w:w="4422" w:type="dxa"/>
          </w:tcPr>
          <w:p w:rsidR="00DB0C66" w:rsidRPr="00DB0C66" w:rsidRDefault="00DB0C66">
            <w:pPr>
              <w:pStyle w:val="ConsPlusNormal"/>
            </w:pPr>
            <w:r w:rsidRPr="00DB0C66">
              <w:t>1) с лицами, ответственными за работу по профилактике коррупционных правонарушений в ОИОГВ НСО, ОМСУ</w:t>
            </w:r>
          </w:p>
        </w:tc>
        <w:tc>
          <w:tcPr>
            <w:tcW w:w="1644" w:type="dxa"/>
          </w:tcPr>
          <w:p w:rsidR="00DB0C66" w:rsidRPr="00DB0C66" w:rsidRDefault="00DB0C66">
            <w:pPr>
              <w:pStyle w:val="ConsPlusNormal"/>
            </w:pPr>
            <w:r w:rsidRPr="00DB0C66">
              <w:t>ОПК НСО</w:t>
            </w:r>
          </w:p>
        </w:tc>
        <w:tc>
          <w:tcPr>
            <w:tcW w:w="1757" w:type="dxa"/>
            <w:vMerge w:val="restart"/>
          </w:tcPr>
          <w:p w:rsidR="00DB0C66" w:rsidRPr="00DB0C66" w:rsidRDefault="00DB0C66">
            <w:pPr>
              <w:pStyle w:val="ConsPlusNormal"/>
            </w:pPr>
            <w:r w:rsidRPr="00DB0C66">
              <w:t>представление информации за полугодие - до 20 июля отчетного года,</w:t>
            </w:r>
          </w:p>
          <w:p w:rsidR="00DB0C66" w:rsidRPr="00DB0C66" w:rsidRDefault="00DB0C66">
            <w:pPr>
              <w:pStyle w:val="ConsPlusNormal"/>
            </w:pPr>
            <w:r w:rsidRPr="00DB0C66">
              <w:t>представление информации за отчетный год - до 20 января года, следующего за отчетным</w:t>
            </w:r>
          </w:p>
        </w:tc>
        <w:tc>
          <w:tcPr>
            <w:tcW w:w="2438" w:type="dxa"/>
            <w:vMerge w:val="restart"/>
          </w:tcPr>
          <w:p w:rsidR="00DB0C66" w:rsidRPr="00DB0C66" w:rsidRDefault="00DB0C66">
            <w:pPr>
              <w:pStyle w:val="ConsPlusNormal"/>
            </w:pPr>
            <w:r w:rsidRPr="00DB0C66">
              <w:t>повышение эффективности антикоррупционной работы, обмен опытом между областными исполнительными органами государственной власти Новосибирской области и органами местного самоуправления</w:t>
            </w:r>
          </w:p>
        </w:tc>
      </w:tr>
      <w:tr w:rsidR="00DB0C66" w:rsidRPr="00DB0C66">
        <w:tc>
          <w:tcPr>
            <w:tcW w:w="567" w:type="dxa"/>
            <w:vMerge/>
          </w:tcPr>
          <w:p w:rsidR="00DB0C66" w:rsidRPr="00DB0C66" w:rsidRDefault="00DB0C66">
            <w:pPr>
              <w:pStyle w:val="ConsPlusNormal"/>
            </w:pPr>
          </w:p>
        </w:tc>
        <w:tc>
          <w:tcPr>
            <w:tcW w:w="2778" w:type="dxa"/>
            <w:vMerge/>
          </w:tcPr>
          <w:p w:rsidR="00DB0C66" w:rsidRPr="00DB0C66" w:rsidRDefault="00DB0C66">
            <w:pPr>
              <w:pStyle w:val="ConsPlusNormal"/>
            </w:pPr>
          </w:p>
        </w:tc>
        <w:tc>
          <w:tcPr>
            <w:tcW w:w="4422" w:type="dxa"/>
          </w:tcPr>
          <w:p w:rsidR="00DB0C66" w:rsidRPr="00DB0C66" w:rsidRDefault="00DB0C66">
            <w:pPr>
              <w:pStyle w:val="ConsPlusNormal"/>
            </w:pPr>
            <w:r w:rsidRPr="00DB0C66">
              <w:t>2) с лицами, замещающими должности государственной гражданской службы Новосибирской области в ОИОГВ НСО, участвующими в реализации контрольно-надзорных функций</w:t>
            </w:r>
          </w:p>
        </w:tc>
        <w:tc>
          <w:tcPr>
            <w:tcW w:w="1644" w:type="dxa"/>
          </w:tcPr>
          <w:p w:rsidR="00DB0C66" w:rsidRPr="00DB0C66" w:rsidRDefault="00DB0C66">
            <w:pPr>
              <w:pStyle w:val="ConsPlusNormal"/>
            </w:pPr>
            <w:r w:rsidRPr="00DB0C66">
              <w:t>ОИОГВ НСО,</w:t>
            </w:r>
          </w:p>
          <w:p w:rsidR="00DB0C66" w:rsidRPr="00DB0C66" w:rsidRDefault="00DB0C66">
            <w:pPr>
              <w:pStyle w:val="ConsPlusNormal"/>
            </w:pPr>
            <w:r w:rsidRPr="00DB0C66">
              <w:t>осуществляющие контрольно-надзорные функции</w:t>
            </w:r>
          </w:p>
        </w:tc>
        <w:tc>
          <w:tcPr>
            <w:tcW w:w="1757" w:type="dxa"/>
            <w:vMerge/>
          </w:tcPr>
          <w:p w:rsidR="00DB0C66" w:rsidRPr="00DB0C66" w:rsidRDefault="00DB0C66">
            <w:pPr>
              <w:pStyle w:val="ConsPlusNormal"/>
            </w:pPr>
          </w:p>
        </w:tc>
        <w:tc>
          <w:tcPr>
            <w:tcW w:w="2438" w:type="dxa"/>
            <w:vMerge/>
          </w:tcPr>
          <w:p w:rsidR="00DB0C66" w:rsidRPr="00DB0C66" w:rsidRDefault="00DB0C66">
            <w:pPr>
              <w:pStyle w:val="ConsPlusNormal"/>
            </w:pPr>
          </w:p>
        </w:tc>
      </w:tr>
      <w:tr w:rsidR="00DB0C66" w:rsidRPr="00DB0C66">
        <w:tc>
          <w:tcPr>
            <w:tcW w:w="567" w:type="dxa"/>
            <w:vMerge/>
          </w:tcPr>
          <w:p w:rsidR="00DB0C66" w:rsidRPr="00DB0C66" w:rsidRDefault="00DB0C66">
            <w:pPr>
              <w:pStyle w:val="ConsPlusNormal"/>
            </w:pPr>
          </w:p>
        </w:tc>
        <w:tc>
          <w:tcPr>
            <w:tcW w:w="2778" w:type="dxa"/>
            <w:vMerge/>
          </w:tcPr>
          <w:p w:rsidR="00DB0C66" w:rsidRPr="00DB0C66" w:rsidRDefault="00DB0C66">
            <w:pPr>
              <w:pStyle w:val="ConsPlusNormal"/>
            </w:pPr>
          </w:p>
        </w:tc>
        <w:tc>
          <w:tcPr>
            <w:tcW w:w="4422" w:type="dxa"/>
          </w:tcPr>
          <w:p w:rsidR="00DB0C66" w:rsidRPr="00DB0C66" w:rsidRDefault="00DB0C66">
            <w:pPr>
              <w:pStyle w:val="ConsPlusNormal"/>
            </w:pPr>
            <w:r w:rsidRPr="00DB0C66">
              <w:t xml:space="preserve">3) с руководителями и должностными лицами государственных учреждений </w:t>
            </w:r>
            <w:r w:rsidRPr="00DB0C66">
              <w:lastRenderedPageBreak/>
              <w:t>(организаций), ответственными за профилактику коррупционных и иных правонарушений, находящихся в ведении ОИОГВ НСО, с участием специалистов ОПК НСО</w:t>
            </w:r>
          </w:p>
        </w:tc>
        <w:tc>
          <w:tcPr>
            <w:tcW w:w="1644" w:type="dxa"/>
          </w:tcPr>
          <w:p w:rsidR="00DB0C66" w:rsidRPr="00DB0C66" w:rsidRDefault="00DB0C66">
            <w:pPr>
              <w:pStyle w:val="ConsPlusNormal"/>
            </w:pPr>
            <w:proofErr w:type="spellStart"/>
            <w:r w:rsidRPr="00DB0C66">
              <w:lastRenderedPageBreak/>
              <w:t>минздрав</w:t>
            </w:r>
            <w:proofErr w:type="spellEnd"/>
            <w:r w:rsidRPr="00DB0C66">
              <w:t xml:space="preserve"> НСО;</w:t>
            </w:r>
          </w:p>
          <w:p w:rsidR="00DB0C66" w:rsidRPr="00DB0C66" w:rsidRDefault="00DB0C66">
            <w:pPr>
              <w:pStyle w:val="ConsPlusNormal"/>
            </w:pPr>
            <w:r w:rsidRPr="00DB0C66">
              <w:t>УИП НСО;</w:t>
            </w:r>
          </w:p>
          <w:p w:rsidR="00DB0C66" w:rsidRPr="00DB0C66" w:rsidRDefault="00DB0C66">
            <w:pPr>
              <w:pStyle w:val="ConsPlusNormal"/>
            </w:pPr>
            <w:r w:rsidRPr="00DB0C66">
              <w:lastRenderedPageBreak/>
              <w:t>министерство</w:t>
            </w:r>
          </w:p>
          <w:p w:rsidR="00DB0C66" w:rsidRPr="00DB0C66" w:rsidRDefault="00DB0C66">
            <w:pPr>
              <w:pStyle w:val="ConsPlusNormal"/>
            </w:pPr>
            <w:r w:rsidRPr="00DB0C66">
              <w:t>ФК и С НСО;</w:t>
            </w:r>
          </w:p>
          <w:p w:rsidR="00DB0C66" w:rsidRPr="00DB0C66" w:rsidRDefault="00DB0C66">
            <w:pPr>
              <w:pStyle w:val="ConsPlusNormal"/>
            </w:pPr>
            <w:r w:rsidRPr="00DB0C66">
              <w:t>ОПК НСО</w:t>
            </w:r>
          </w:p>
        </w:tc>
        <w:tc>
          <w:tcPr>
            <w:tcW w:w="1757" w:type="dxa"/>
            <w:vMerge/>
          </w:tcPr>
          <w:p w:rsidR="00DB0C66" w:rsidRPr="00DB0C66" w:rsidRDefault="00DB0C66">
            <w:pPr>
              <w:pStyle w:val="ConsPlusNormal"/>
            </w:pPr>
          </w:p>
        </w:tc>
        <w:tc>
          <w:tcPr>
            <w:tcW w:w="2438" w:type="dxa"/>
            <w:vMerge/>
          </w:tcPr>
          <w:p w:rsidR="00DB0C66" w:rsidRPr="00DB0C66" w:rsidRDefault="00DB0C66">
            <w:pPr>
              <w:pStyle w:val="ConsPlusNormal"/>
            </w:pPr>
          </w:p>
        </w:tc>
      </w:tr>
      <w:tr w:rsidR="00DB0C66" w:rsidRPr="00DB0C66">
        <w:tc>
          <w:tcPr>
            <w:tcW w:w="567" w:type="dxa"/>
          </w:tcPr>
          <w:p w:rsidR="00DB0C66" w:rsidRPr="00DB0C66" w:rsidRDefault="00DB0C66">
            <w:pPr>
              <w:pStyle w:val="ConsPlusNormal"/>
              <w:jc w:val="center"/>
            </w:pPr>
            <w:r w:rsidRPr="00DB0C66">
              <w:t>5</w:t>
            </w:r>
          </w:p>
        </w:tc>
        <w:tc>
          <w:tcPr>
            <w:tcW w:w="7200" w:type="dxa"/>
            <w:gridSpan w:val="2"/>
          </w:tcPr>
          <w:p w:rsidR="00DB0C66" w:rsidRPr="00DB0C66" w:rsidRDefault="00DB0C66">
            <w:pPr>
              <w:pStyle w:val="ConsPlusNormal"/>
            </w:pPr>
            <w:r w:rsidRPr="00DB0C66">
              <w:t>Анализ результатов проведенных мероприятий по антикоррупционному просвещению, проводимых в ОИОГВ НСО, администрации Губернатора Новосибирской области и Правительства Новосибирской области, в целях выработки предложений по повышению их эффективности</w:t>
            </w:r>
          </w:p>
        </w:tc>
        <w:tc>
          <w:tcPr>
            <w:tcW w:w="1644" w:type="dxa"/>
          </w:tcPr>
          <w:p w:rsidR="00DB0C66" w:rsidRPr="00DB0C66" w:rsidRDefault="00DB0C66">
            <w:pPr>
              <w:pStyle w:val="ConsPlusNormal"/>
            </w:pPr>
            <w:r w:rsidRPr="00DB0C66">
              <w:t>ОИОГВ НСО;</w:t>
            </w:r>
          </w:p>
          <w:p w:rsidR="00DB0C66" w:rsidRPr="00DB0C66" w:rsidRDefault="00DB0C66">
            <w:pPr>
              <w:pStyle w:val="ConsPlusNormal"/>
            </w:pPr>
            <w:r w:rsidRPr="00DB0C66">
              <w:t>ОПК НСО</w:t>
            </w:r>
          </w:p>
        </w:tc>
        <w:tc>
          <w:tcPr>
            <w:tcW w:w="1757" w:type="dxa"/>
          </w:tcPr>
          <w:p w:rsidR="00DB0C66" w:rsidRPr="00DB0C66" w:rsidRDefault="00DB0C66">
            <w:pPr>
              <w:pStyle w:val="ConsPlusNormal"/>
            </w:pPr>
            <w:r w:rsidRPr="00DB0C66">
              <w:t>до 20 января года, следующего за отчетным</w:t>
            </w:r>
          </w:p>
        </w:tc>
        <w:tc>
          <w:tcPr>
            <w:tcW w:w="2438" w:type="dxa"/>
          </w:tcPr>
          <w:p w:rsidR="00DB0C66" w:rsidRPr="00DB0C66" w:rsidRDefault="00DB0C66">
            <w:pPr>
              <w:pStyle w:val="ConsPlusNormal"/>
            </w:pPr>
            <w:r w:rsidRPr="00DB0C66">
              <w:t>повышение эффективности мероприятий по антикоррупционному просвещению</w:t>
            </w:r>
          </w:p>
        </w:tc>
      </w:tr>
    </w:tbl>
    <w:p w:rsidR="00DB0C66" w:rsidRPr="00DB0C66" w:rsidRDefault="00DB0C66">
      <w:pPr>
        <w:pStyle w:val="ConsPlusNormal"/>
        <w:sectPr w:rsidR="00DB0C66" w:rsidRPr="00DB0C66" w:rsidSect="00DB0C66">
          <w:pgSz w:w="16838" w:h="11905" w:orient="landscape"/>
          <w:pgMar w:top="1701" w:right="1134" w:bottom="850" w:left="1134" w:header="0" w:footer="0" w:gutter="0"/>
          <w:cols w:space="720"/>
          <w:titlePg/>
          <w:docGrid w:linePitch="299"/>
        </w:sectPr>
      </w:pPr>
    </w:p>
    <w:p w:rsidR="00DB0C66" w:rsidRPr="00DB0C66" w:rsidRDefault="00DB0C66">
      <w:pPr>
        <w:pStyle w:val="ConsPlusNormal"/>
        <w:ind w:firstLine="540"/>
        <w:jc w:val="both"/>
      </w:pPr>
    </w:p>
    <w:p w:rsidR="00DB0C66" w:rsidRPr="00DB0C66" w:rsidRDefault="00DB0C66">
      <w:pPr>
        <w:pStyle w:val="ConsPlusNormal"/>
        <w:ind w:firstLine="540"/>
        <w:jc w:val="both"/>
      </w:pPr>
      <w:r w:rsidRPr="00DB0C66">
        <w:t>Применяемые сокращения:</w:t>
      </w:r>
    </w:p>
    <w:p w:rsidR="00DB0C66" w:rsidRPr="00DB0C66" w:rsidRDefault="00DB0C66">
      <w:pPr>
        <w:pStyle w:val="ConsPlusNormal"/>
        <w:spacing w:before="220"/>
        <w:ind w:firstLine="540"/>
        <w:jc w:val="both"/>
      </w:pPr>
      <w:r w:rsidRPr="00DB0C66">
        <w:t>государственные учреждения (организации) - государственные учреждения Новосибирской области и организации, созданные для выполнения задач, поставленных перед исполнительными органами государственной власти Новосибирской области;</w:t>
      </w:r>
    </w:p>
    <w:p w:rsidR="00DB0C66" w:rsidRPr="00DB0C66" w:rsidRDefault="00DB0C66">
      <w:pPr>
        <w:pStyle w:val="ConsPlusNormal"/>
        <w:spacing w:before="220"/>
        <w:ind w:firstLine="540"/>
        <w:jc w:val="both"/>
      </w:pPr>
      <w:proofErr w:type="spellStart"/>
      <w:r w:rsidRPr="00DB0C66">
        <w:t>минздрав</w:t>
      </w:r>
      <w:proofErr w:type="spellEnd"/>
      <w:r w:rsidRPr="00DB0C66">
        <w:t xml:space="preserve"> НСО - министерство здравоохранения Новосибирской области;</w:t>
      </w:r>
    </w:p>
    <w:p w:rsidR="00DB0C66" w:rsidRPr="00DB0C66" w:rsidRDefault="00DB0C66">
      <w:pPr>
        <w:pStyle w:val="ConsPlusNormal"/>
        <w:spacing w:before="220"/>
        <w:ind w:firstLine="540"/>
        <w:jc w:val="both"/>
      </w:pPr>
      <w:r w:rsidRPr="00DB0C66">
        <w:t>министерство ФК и С НСО - министерство физической культуры и спорта Новосибирской области;</w:t>
      </w:r>
    </w:p>
    <w:p w:rsidR="00DB0C66" w:rsidRPr="00DB0C66" w:rsidRDefault="00DB0C66">
      <w:pPr>
        <w:pStyle w:val="ConsPlusNormal"/>
        <w:spacing w:before="220"/>
        <w:ind w:firstLine="540"/>
        <w:jc w:val="both"/>
      </w:pPr>
      <w:r w:rsidRPr="00DB0C66">
        <w:t>ОИОГВ НСО - областные исполнительные органы государственной власти Новосибирской области;</w:t>
      </w:r>
    </w:p>
    <w:p w:rsidR="00DB0C66" w:rsidRPr="00DB0C66" w:rsidRDefault="00DB0C66">
      <w:pPr>
        <w:pStyle w:val="ConsPlusNormal"/>
        <w:spacing w:before="220"/>
        <w:ind w:firstLine="540"/>
        <w:jc w:val="both"/>
      </w:pPr>
      <w:r w:rsidRPr="00DB0C66">
        <w:t>ОИОГВ НСО, осуществляющие контрольно-надзорные функции, - министерство жилищно-коммунального хозяйства и энергетики Новосибирской области, министерство здравоохранения Новосибирской области, министерство культуры Новосибирской области, министерство образования Новосибирской области, министерство промышленности, торговли и развития предпринимательства Новосибирской области, министерство природных ресурсов и экологии Новосибирской области, министерство строительства Новосибирской области, министерство транспорта и дорожного хозяйства Новосибирской области, министерство труда и социального развития Новосибирской области, министерство физической культуры и спорта Новосибирской области, департамент имущества и земельных отношений Новосибирской области, департамент по тарифам Новосибирской области, контрольное управление Новосибирской области, управление ветеринарии Новосибирской области, управление государственной архивной службы Новосибирской области, управление по делам ЗАГС Новосибирской области, государственная жилищная инспекция Новосибирской области, государственная инспекция по охране объектов культурного наследия Новосибирской области, инспекция государственного надзора за техническим состоянием самоходных машин и других видов техники Новосибирской области, инспекция государственного строительного надзора Новосибирской области;</w:t>
      </w:r>
    </w:p>
    <w:p w:rsidR="00DB0C66" w:rsidRPr="00DB0C66" w:rsidRDefault="00DB0C66">
      <w:pPr>
        <w:pStyle w:val="ConsPlusNormal"/>
        <w:spacing w:before="220"/>
        <w:ind w:firstLine="540"/>
        <w:jc w:val="both"/>
      </w:pPr>
      <w:r w:rsidRPr="00DB0C66">
        <w:t>ОМСУ - органы местного самоуправления муниципальных образований Новосибирской области;</w:t>
      </w:r>
    </w:p>
    <w:p w:rsidR="00DB0C66" w:rsidRPr="00DB0C66" w:rsidRDefault="00DB0C66">
      <w:pPr>
        <w:pStyle w:val="ConsPlusNormal"/>
        <w:spacing w:before="220"/>
        <w:ind w:firstLine="540"/>
        <w:jc w:val="both"/>
      </w:pPr>
      <w:r w:rsidRPr="00DB0C66">
        <w:t>ОПК НСО - орган Новосибирской области по профилактике коррупционных и иных правонарушений, функции которого осуществляет отдел по профилактике коррупционных и иных правонарушений администрации Губернатора Новосибирской области и Правительства Новосибирской области;</w:t>
      </w:r>
    </w:p>
    <w:p w:rsidR="00DB0C66" w:rsidRPr="00DB0C66" w:rsidRDefault="00DB0C66">
      <w:pPr>
        <w:pStyle w:val="ConsPlusNormal"/>
        <w:spacing w:before="220"/>
        <w:ind w:firstLine="540"/>
        <w:jc w:val="both"/>
      </w:pPr>
      <w:r w:rsidRPr="00DB0C66">
        <w:t>официальный сайт Губернатора Новосибирской области и Правительства Новосибирской области - официальный сайт Губернатора Новосибирской области и Правительства Новосибирской области в информационно-телекоммуникационной сети "Интернет" (http://www.nso.ru);</w:t>
      </w:r>
    </w:p>
    <w:p w:rsidR="00DB0C66" w:rsidRPr="00DB0C66" w:rsidRDefault="00DB0C66">
      <w:pPr>
        <w:pStyle w:val="ConsPlusNormal"/>
        <w:spacing w:before="220"/>
        <w:ind w:firstLine="540"/>
        <w:jc w:val="both"/>
      </w:pPr>
      <w:r w:rsidRPr="00DB0C66">
        <w:t>УИП НСО - управление информационных проектов Новосибирской области.</w:t>
      </w:r>
    </w:p>
    <w:p w:rsidR="00DB0C66" w:rsidRPr="00DB0C66" w:rsidRDefault="00DB0C66">
      <w:pPr>
        <w:pStyle w:val="ConsPlusNormal"/>
        <w:ind w:firstLine="540"/>
        <w:jc w:val="both"/>
      </w:pPr>
    </w:p>
    <w:bookmarkEnd w:id="0"/>
    <w:p w:rsidR="0007014E" w:rsidRPr="00DB0C66" w:rsidRDefault="00DB0C66"/>
    <w:sectPr w:rsidR="0007014E" w:rsidRPr="00DB0C66">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0C66"/>
    <w:rsid w:val="00392EA7"/>
    <w:rsid w:val="00AF3E0D"/>
    <w:rsid w:val="00DB0C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FCED6"/>
  <w15:chartTrackingRefBased/>
  <w15:docId w15:val="{142AA10C-1277-4915-94CD-B91D3171E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B0C66"/>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DB0C66"/>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DB0C66"/>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1530</Words>
  <Characters>8726</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Сергеева Татьяна Михайловна</dc:creator>
  <cp:keywords/>
  <dc:description/>
  <cp:lastModifiedBy>Сергеева Татьяна Михайловна</cp:lastModifiedBy>
  <cp:revision>1</cp:revision>
  <dcterms:created xsi:type="dcterms:W3CDTF">2023-05-22T04:32:00Z</dcterms:created>
  <dcterms:modified xsi:type="dcterms:W3CDTF">2023-05-22T04:36:00Z</dcterms:modified>
</cp:coreProperties>
</file>