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205" w:rsidRPr="00C93CCA" w:rsidRDefault="00CF5631">
      <w:pPr>
        <w:jc w:val="center"/>
        <w:rPr>
          <w:b/>
          <w:szCs w:val="28"/>
        </w:rPr>
      </w:pPr>
      <w:r w:rsidRPr="00C93CCA">
        <w:rPr>
          <w:b/>
          <w:szCs w:val="28"/>
        </w:rPr>
        <w:t>ФИНАНСОВО-ЭКОНОМИЧЕСКОЕ ОБОСНОВАНИЕ</w:t>
      </w:r>
    </w:p>
    <w:p w:rsidR="00FD549F" w:rsidRPr="00C93CCA" w:rsidRDefault="00FD549F" w:rsidP="00FD549F">
      <w:pPr>
        <w:jc w:val="center"/>
        <w:rPr>
          <w:rFonts w:eastAsia="Calibri"/>
          <w:b/>
          <w:szCs w:val="28"/>
          <w:lang w:eastAsia="en-US"/>
        </w:rPr>
      </w:pPr>
      <w:r w:rsidRPr="00C93CCA">
        <w:rPr>
          <w:b/>
          <w:bCs/>
          <w:szCs w:val="28"/>
        </w:rPr>
        <w:t xml:space="preserve">к проекту </w:t>
      </w:r>
      <w:r w:rsidR="003D4F65" w:rsidRPr="00C93CCA">
        <w:rPr>
          <w:b/>
          <w:bCs/>
          <w:szCs w:val="28"/>
        </w:rPr>
        <w:t xml:space="preserve">закона </w:t>
      </w:r>
      <w:r w:rsidRPr="00C93CCA">
        <w:rPr>
          <w:b/>
          <w:bCs/>
          <w:szCs w:val="28"/>
        </w:rPr>
        <w:t>Новосибирской области «</w:t>
      </w:r>
      <w:r w:rsidRPr="00C93CCA">
        <w:rPr>
          <w:rFonts w:eastAsia="Calibri"/>
          <w:b/>
          <w:szCs w:val="28"/>
        </w:rPr>
        <w:t>О внесении изменения в статью 2 Закона Новосибирской области «О внесении изменений в статьи 2.4 и 8.11 Закона Новосибирской области «О налогах и особенностях налогообложения отдельных категорий налогоплательщиков в Новосибирской области»</w:t>
      </w:r>
    </w:p>
    <w:p w:rsidR="00512205" w:rsidRPr="00C93CCA" w:rsidRDefault="00512205">
      <w:pPr>
        <w:pStyle w:val="13"/>
        <w:jc w:val="left"/>
        <w:rPr>
          <w:b w:val="0"/>
          <w:szCs w:val="28"/>
        </w:rPr>
      </w:pPr>
    </w:p>
    <w:p w:rsidR="00512205" w:rsidRPr="00C93CCA" w:rsidRDefault="00CF5631">
      <w:pPr>
        <w:spacing w:after="1" w:line="200" w:lineRule="atLeast"/>
        <w:ind w:firstLine="709"/>
        <w:jc w:val="both"/>
        <w:rPr>
          <w:szCs w:val="28"/>
        </w:rPr>
      </w:pPr>
      <w:r w:rsidRPr="00C93CCA">
        <w:rPr>
          <w:szCs w:val="28"/>
        </w:rPr>
        <w:t xml:space="preserve">Принятие </w:t>
      </w:r>
      <w:r w:rsidR="003D4F65" w:rsidRPr="00C93CCA">
        <w:rPr>
          <w:szCs w:val="28"/>
        </w:rPr>
        <w:t>з</w:t>
      </w:r>
      <w:r w:rsidR="00A6400B" w:rsidRPr="00C93CCA">
        <w:rPr>
          <w:szCs w:val="28"/>
        </w:rPr>
        <w:t>акона Новосибирской области «О внесении изменения в статью 2 Закона Новосибирской области «О внесении изменений в статьи 2.4 и 8.11 Закона Новосибирской области «О налогах и особенностях налогообложения отдельных категорий налогоплательщиков в Новосибирской области»</w:t>
      </w:r>
      <w:r w:rsidRPr="00C93CCA">
        <w:rPr>
          <w:szCs w:val="28"/>
        </w:rPr>
        <w:t xml:space="preserve"> не потребует затрат из областного бюджета Новосибирской области.</w:t>
      </w:r>
    </w:p>
    <w:p w:rsidR="00E535E0" w:rsidRPr="00C93CCA" w:rsidRDefault="00E535E0" w:rsidP="00E535E0">
      <w:pPr>
        <w:spacing w:after="1" w:line="200" w:lineRule="atLeast"/>
        <w:ind w:firstLine="709"/>
        <w:jc w:val="both"/>
      </w:pPr>
      <w:r w:rsidRPr="00C93CCA">
        <w:rPr>
          <w:szCs w:val="28"/>
        </w:rPr>
        <w:t xml:space="preserve">В соответствии с абзацами </w:t>
      </w:r>
      <w:r w:rsidR="00446818" w:rsidRPr="00C93CCA">
        <w:rPr>
          <w:szCs w:val="28"/>
        </w:rPr>
        <w:t xml:space="preserve">третьим </w:t>
      </w:r>
      <w:r w:rsidRPr="00C93CCA">
        <w:rPr>
          <w:szCs w:val="28"/>
        </w:rPr>
        <w:t xml:space="preserve">и </w:t>
      </w:r>
      <w:r w:rsidR="00446818" w:rsidRPr="00C93CCA">
        <w:rPr>
          <w:szCs w:val="28"/>
        </w:rPr>
        <w:t xml:space="preserve">четвертым </w:t>
      </w:r>
      <w:r w:rsidRPr="00C93CCA">
        <w:rPr>
          <w:szCs w:val="28"/>
        </w:rPr>
        <w:t>статьи 7 Федерального закона от 17 июля 1999 года № 176-ФЗ «О почтовой связи» к полномочиям органов государственной власти субъектов Российской Федерации в области почтовой связи относится участие в развитии и расширении сети почтовой связи, а также содействие операторам почтовой связи в расширении сферы услуг, предоставляемых гражданам и юридическим лицам.</w:t>
      </w:r>
    </w:p>
    <w:p w:rsidR="00512205" w:rsidRPr="00C93CCA" w:rsidRDefault="00A6400B" w:rsidP="0066629A">
      <w:pPr>
        <w:spacing w:line="230" w:lineRule="auto"/>
        <w:ind w:firstLine="708"/>
        <w:jc w:val="both"/>
        <w:rPr>
          <w:szCs w:val="28"/>
        </w:rPr>
      </w:pPr>
      <w:r w:rsidRPr="00C93CCA">
        <w:rPr>
          <w:szCs w:val="28"/>
        </w:rPr>
        <w:t xml:space="preserve">Пролонгация </w:t>
      </w:r>
      <w:r w:rsidR="00F17EF2" w:rsidRPr="00C93CCA">
        <w:rPr>
          <w:szCs w:val="28"/>
        </w:rPr>
        <w:t>установленных</w:t>
      </w:r>
      <w:r w:rsidR="00CF5631" w:rsidRPr="00C93CCA">
        <w:rPr>
          <w:szCs w:val="28"/>
        </w:rPr>
        <w:t xml:space="preserve"> для организаций, </w:t>
      </w:r>
      <w:r w:rsidR="0066629A" w:rsidRPr="00C93CCA">
        <w:rPr>
          <w:szCs w:val="28"/>
        </w:rPr>
        <w:t>основным видом экономической деятельности которых является деятельность, относящаяся к видам экономической деятельности «деятельность почтовой связи общего пользования» Общероссийского классификатора видов экономической деятельности ОК</w:t>
      </w:r>
      <w:r w:rsidR="0063176C" w:rsidRPr="00C93CCA">
        <w:rPr>
          <w:szCs w:val="28"/>
        </w:rPr>
        <w:t> </w:t>
      </w:r>
      <w:r w:rsidR="0066629A" w:rsidRPr="00C93CCA">
        <w:rPr>
          <w:szCs w:val="28"/>
        </w:rPr>
        <w:t>029</w:t>
      </w:r>
      <w:r w:rsidR="0063176C" w:rsidRPr="00C93CCA">
        <w:rPr>
          <w:szCs w:val="28"/>
        </w:rPr>
        <w:noBreakHyphen/>
      </w:r>
      <w:r w:rsidR="0066629A" w:rsidRPr="00C93CCA">
        <w:rPr>
          <w:szCs w:val="28"/>
        </w:rPr>
        <w:t>2014 (КДЕС Ред. 2), при условии оказания услуг по доставке и (или) выплате пенсий и пособий</w:t>
      </w:r>
      <w:r w:rsidR="0063176C" w:rsidRPr="00C93CCA">
        <w:rPr>
          <w:szCs w:val="28"/>
        </w:rPr>
        <w:t>,</w:t>
      </w:r>
      <w:r w:rsidR="0066629A" w:rsidRPr="00C93CCA">
        <w:rPr>
          <w:szCs w:val="28"/>
        </w:rPr>
        <w:t xml:space="preserve"> </w:t>
      </w:r>
      <w:r w:rsidR="00CF5631" w:rsidRPr="00C93CCA">
        <w:rPr>
          <w:szCs w:val="28"/>
        </w:rPr>
        <w:t>налоговых льгот по налогу на имущество орга</w:t>
      </w:r>
      <w:r w:rsidR="0066629A" w:rsidRPr="00C93CCA">
        <w:rPr>
          <w:szCs w:val="28"/>
        </w:rPr>
        <w:t xml:space="preserve">низаций и транспортному налогу </w:t>
      </w:r>
      <w:r w:rsidR="00CF5631" w:rsidRPr="00C93CCA">
        <w:rPr>
          <w:szCs w:val="28"/>
        </w:rPr>
        <w:t xml:space="preserve">приведет к </w:t>
      </w:r>
      <w:r w:rsidR="00E535E0" w:rsidRPr="00C93CCA">
        <w:rPr>
          <w:szCs w:val="28"/>
        </w:rPr>
        <w:t>недопоступлению</w:t>
      </w:r>
      <w:r w:rsidR="00CF5631" w:rsidRPr="00C93CCA">
        <w:rPr>
          <w:szCs w:val="28"/>
        </w:rPr>
        <w:t xml:space="preserve"> доход</w:t>
      </w:r>
      <w:r w:rsidR="00E535E0" w:rsidRPr="00C93CCA">
        <w:rPr>
          <w:szCs w:val="28"/>
        </w:rPr>
        <w:t>ов</w:t>
      </w:r>
      <w:r w:rsidR="00CF5631" w:rsidRPr="00C93CCA">
        <w:rPr>
          <w:szCs w:val="28"/>
        </w:rPr>
        <w:t xml:space="preserve"> </w:t>
      </w:r>
      <w:r w:rsidR="00E535E0" w:rsidRPr="00C93CCA">
        <w:rPr>
          <w:szCs w:val="28"/>
        </w:rPr>
        <w:t>в</w:t>
      </w:r>
      <w:r w:rsidR="00CF5631" w:rsidRPr="00C93CCA">
        <w:rPr>
          <w:szCs w:val="28"/>
        </w:rPr>
        <w:t xml:space="preserve"> областно</w:t>
      </w:r>
      <w:r w:rsidR="00E535E0" w:rsidRPr="00C93CCA">
        <w:rPr>
          <w:szCs w:val="28"/>
        </w:rPr>
        <w:t>й бюджет</w:t>
      </w:r>
      <w:r w:rsidR="00CF5631" w:rsidRPr="00C93CCA">
        <w:rPr>
          <w:szCs w:val="28"/>
        </w:rPr>
        <w:t xml:space="preserve"> Новосибирской области.</w:t>
      </w:r>
    </w:p>
    <w:p w:rsidR="00512205" w:rsidRPr="00C93CCA" w:rsidRDefault="00CF5631" w:rsidP="0063176C">
      <w:pPr>
        <w:spacing w:after="1" w:line="200" w:lineRule="atLeast"/>
        <w:ind w:firstLine="709"/>
        <w:jc w:val="both"/>
        <w:rPr>
          <w:szCs w:val="28"/>
        </w:rPr>
      </w:pPr>
      <w:r w:rsidRPr="00C93CCA">
        <w:rPr>
          <w:szCs w:val="28"/>
        </w:rPr>
        <w:t>Пр</w:t>
      </w:r>
      <w:r w:rsidR="001E20DD" w:rsidRPr="00C93CCA">
        <w:rPr>
          <w:szCs w:val="28"/>
        </w:rPr>
        <w:t>олонгируемые</w:t>
      </w:r>
      <w:r w:rsidRPr="00C93CCA">
        <w:rPr>
          <w:szCs w:val="28"/>
        </w:rPr>
        <w:t xml:space="preserve"> налоговые льготы относятся к категории социальных налоговых расходов, так как обусловлены необходимостью обеспечения социальн</w:t>
      </w:r>
      <w:r w:rsidR="00BC21C0" w:rsidRPr="00C93CCA">
        <w:rPr>
          <w:szCs w:val="28"/>
        </w:rPr>
        <w:t xml:space="preserve">ой защиты (поддержки) населения, а именно наиболее уязвимой категории </w:t>
      </w:r>
      <w:r w:rsidR="0063176C" w:rsidRPr="00C93CCA">
        <w:rPr>
          <w:szCs w:val="28"/>
        </w:rPr>
        <w:t>–</w:t>
      </w:r>
      <w:r w:rsidR="00A145F9" w:rsidRPr="00C93CCA">
        <w:rPr>
          <w:szCs w:val="28"/>
        </w:rPr>
        <w:t xml:space="preserve"> </w:t>
      </w:r>
      <w:r w:rsidR="00BC21C0" w:rsidRPr="00C93CCA">
        <w:rPr>
          <w:szCs w:val="28"/>
        </w:rPr>
        <w:t xml:space="preserve">сотрудников сельских отделений почтовой связи, </w:t>
      </w:r>
      <w:r w:rsidR="00A145F9" w:rsidRPr="00C93CCA">
        <w:rPr>
          <w:szCs w:val="28"/>
        </w:rPr>
        <w:t>на которую в большей степени оказали влияние оптимизационные мероприятия по нормированию и балансировке штатных единиц, проводимы</w:t>
      </w:r>
      <w:r w:rsidR="007417D0" w:rsidRPr="00C93CCA">
        <w:rPr>
          <w:szCs w:val="28"/>
        </w:rPr>
        <w:t>е</w:t>
      </w:r>
      <w:r w:rsidR="00A145F9" w:rsidRPr="00C93CCA">
        <w:rPr>
          <w:szCs w:val="28"/>
        </w:rPr>
        <w:t xml:space="preserve"> в 2023 году.</w:t>
      </w:r>
    </w:p>
    <w:p w:rsidR="00ED1806" w:rsidRPr="00C93CCA" w:rsidRDefault="00ED1806" w:rsidP="00ED1806">
      <w:pPr>
        <w:ind w:firstLine="709"/>
        <w:jc w:val="both"/>
        <w:rPr>
          <w:szCs w:val="28"/>
        </w:rPr>
      </w:pPr>
      <w:r w:rsidRPr="00C93CCA">
        <w:rPr>
          <w:szCs w:val="28"/>
        </w:rPr>
        <w:t>В результате предварительной оценки эффективности предоставления налоговых льгот для организаций почтовой связи общего пользования за истекший период 202</w:t>
      </w:r>
      <w:r w:rsidR="00E150C2" w:rsidRPr="00C93CCA">
        <w:rPr>
          <w:szCs w:val="28"/>
        </w:rPr>
        <w:t>5</w:t>
      </w:r>
      <w:r w:rsidRPr="00C93CCA">
        <w:rPr>
          <w:szCs w:val="28"/>
        </w:rPr>
        <w:t xml:space="preserve"> года установлена востребованность налоговых льгот и </w:t>
      </w:r>
      <w:r w:rsidR="00E150C2" w:rsidRPr="00C93CCA">
        <w:rPr>
          <w:szCs w:val="28"/>
        </w:rPr>
        <w:t xml:space="preserve">сохранение </w:t>
      </w:r>
      <w:r w:rsidRPr="00C93CCA">
        <w:rPr>
          <w:szCs w:val="28"/>
        </w:rPr>
        <w:t xml:space="preserve">статусов функционирования </w:t>
      </w:r>
      <w:r w:rsidR="00E150C2" w:rsidRPr="00C93CCA">
        <w:rPr>
          <w:szCs w:val="28"/>
        </w:rPr>
        <w:t xml:space="preserve">возобновивших работу в 2024 году отделений почтовой связи </w:t>
      </w:r>
      <w:r w:rsidRPr="00C93CCA">
        <w:rPr>
          <w:szCs w:val="28"/>
        </w:rPr>
        <w:t xml:space="preserve">на территории Новосибирской области. </w:t>
      </w:r>
    </w:p>
    <w:p w:rsidR="00512205" w:rsidRPr="00C93CCA" w:rsidRDefault="000E70C3" w:rsidP="008910B9">
      <w:pPr>
        <w:spacing w:after="1" w:line="200" w:lineRule="atLeast"/>
        <w:ind w:firstLine="709"/>
        <w:jc w:val="both"/>
      </w:pPr>
      <w:r w:rsidRPr="00C93CCA">
        <w:t xml:space="preserve">По состоянию на </w:t>
      </w:r>
      <w:r w:rsidR="00FB1F5C" w:rsidRPr="00C93CCA">
        <w:t>12 ноября</w:t>
      </w:r>
      <w:r w:rsidR="003D4F65" w:rsidRPr="00C93CCA">
        <w:t xml:space="preserve"> </w:t>
      </w:r>
      <w:r w:rsidRPr="00C93CCA">
        <w:t>202</w:t>
      </w:r>
      <w:r w:rsidR="00E150C2" w:rsidRPr="00C93CCA">
        <w:t>5</w:t>
      </w:r>
      <w:r w:rsidRPr="00C93CCA">
        <w:t xml:space="preserve"> </w:t>
      </w:r>
      <w:r w:rsidR="003D4F65" w:rsidRPr="00C93CCA">
        <w:t xml:space="preserve">года </w:t>
      </w:r>
      <w:r w:rsidR="007417D0" w:rsidRPr="00C93CCA">
        <w:t>возобновил</w:t>
      </w:r>
      <w:r w:rsidR="00DC66E5" w:rsidRPr="00C93CCA">
        <w:t>и</w:t>
      </w:r>
      <w:r w:rsidR="007417D0" w:rsidRPr="00C93CCA">
        <w:t xml:space="preserve"> свою работу</w:t>
      </w:r>
      <w:r w:rsidR="001908D3" w:rsidRPr="00C93CCA">
        <w:t xml:space="preserve"> </w:t>
      </w:r>
      <w:r w:rsidR="008C3DDA" w:rsidRPr="00C93CCA">
        <w:t>и функциониру</w:t>
      </w:r>
      <w:r w:rsidR="00DC66E5" w:rsidRPr="00C93CCA">
        <w:t>ю</w:t>
      </w:r>
      <w:r w:rsidR="008C3DDA" w:rsidRPr="00C93CCA">
        <w:t xml:space="preserve">т </w:t>
      </w:r>
      <w:r w:rsidR="00FB1F5C" w:rsidRPr="00C93CCA">
        <w:t>31</w:t>
      </w:r>
      <w:r w:rsidR="001908D3" w:rsidRPr="00C93CCA">
        <w:t xml:space="preserve"> отделени</w:t>
      </w:r>
      <w:r w:rsidR="00FB1F5C" w:rsidRPr="00C93CCA">
        <w:t>е</w:t>
      </w:r>
      <w:r w:rsidR="001908D3" w:rsidRPr="00C93CCA">
        <w:t xml:space="preserve"> почтовой связи, </w:t>
      </w:r>
      <w:r w:rsidR="008C3DDA" w:rsidRPr="00C93CCA">
        <w:t>из них 2</w:t>
      </w:r>
      <w:r w:rsidR="008C0588" w:rsidRPr="00C93CCA">
        <w:t>7</w:t>
      </w:r>
      <w:r w:rsidR="008C3DDA" w:rsidRPr="00C93CCA">
        <w:t xml:space="preserve"> </w:t>
      </w:r>
      <w:r w:rsidR="002B1353" w:rsidRPr="00C93CCA">
        <w:t xml:space="preserve">- </w:t>
      </w:r>
      <w:r w:rsidR="008C3DDA" w:rsidRPr="00C93CCA">
        <w:t>в рамках обязательств соглашения о сотрудничестве между Правительством Новосибирской области и АО «Почта России» от 2 февраля 2024 года № 6, 4</w:t>
      </w:r>
      <w:r w:rsidR="002B1353" w:rsidRPr="00C93CCA">
        <w:t xml:space="preserve"> -</w:t>
      </w:r>
      <w:r w:rsidR="008C3DDA" w:rsidRPr="00C93CCA">
        <w:t xml:space="preserve"> </w:t>
      </w:r>
      <w:r w:rsidR="001908D3" w:rsidRPr="00C93CCA">
        <w:t>в</w:t>
      </w:r>
      <w:r w:rsidR="00DC66E5" w:rsidRPr="00C93CCA">
        <w:t xml:space="preserve"> рамках</w:t>
      </w:r>
      <w:r w:rsidR="007417D0" w:rsidRPr="00C93CCA">
        <w:t xml:space="preserve"> соглашени</w:t>
      </w:r>
      <w:r w:rsidR="00DC66E5" w:rsidRPr="00C93CCA">
        <w:t>я</w:t>
      </w:r>
      <w:r w:rsidR="007417D0" w:rsidRPr="00C93CCA">
        <w:t xml:space="preserve"> о сотрудничестве между Правительством Новосибирской области и АО «Почта России» от </w:t>
      </w:r>
      <w:r w:rsidR="00DC66E5" w:rsidRPr="00C93CCA">
        <w:t>10</w:t>
      </w:r>
      <w:r w:rsidR="003D4F65" w:rsidRPr="00C93CCA">
        <w:t xml:space="preserve"> </w:t>
      </w:r>
      <w:r w:rsidR="00DC66E5" w:rsidRPr="00C93CCA">
        <w:t>марта</w:t>
      </w:r>
      <w:r w:rsidR="003D4F65" w:rsidRPr="00C93CCA">
        <w:t xml:space="preserve"> </w:t>
      </w:r>
      <w:r w:rsidR="007417D0" w:rsidRPr="00C93CCA">
        <w:t>202</w:t>
      </w:r>
      <w:r w:rsidR="00DC66E5" w:rsidRPr="00C93CCA">
        <w:t>5</w:t>
      </w:r>
      <w:r w:rsidR="007417D0" w:rsidRPr="00C93CCA">
        <w:t xml:space="preserve"> </w:t>
      </w:r>
      <w:r w:rsidR="003D4F65" w:rsidRPr="00C93CCA">
        <w:t>года № </w:t>
      </w:r>
      <w:r w:rsidR="00DC66E5" w:rsidRPr="00C93CCA">
        <w:t>3</w:t>
      </w:r>
      <w:r w:rsidR="002B1353" w:rsidRPr="00C93CCA">
        <w:t xml:space="preserve">, что позволило </w:t>
      </w:r>
      <w:r w:rsidR="008910B9" w:rsidRPr="00C93CCA">
        <w:t xml:space="preserve">суммарно </w:t>
      </w:r>
      <w:r w:rsidR="002B1353" w:rsidRPr="00C93CCA">
        <w:t>обеспечить доступность услуг почтовой связи для 29,5 тыс. человек.</w:t>
      </w:r>
      <w:r w:rsidR="008910B9" w:rsidRPr="00C93CCA">
        <w:t xml:space="preserve"> В результате применения мер налоговой поддержки в 2024-2025 гг., было трудоустроено </w:t>
      </w:r>
      <w:r w:rsidR="00FB1F5C" w:rsidRPr="00C93CCA">
        <w:t>140</w:t>
      </w:r>
      <w:r w:rsidR="008910B9" w:rsidRPr="00C93CCA">
        <w:t xml:space="preserve"> </w:t>
      </w:r>
      <w:r w:rsidR="00FB1F5C" w:rsidRPr="00C93CCA">
        <w:t>человек</w:t>
      </w:r>
      <w:r w:rsidR="00F76374" w:rsidRPr="00C93CCA">
        <w:t xml:space="preserve">. По итогам </w:t>
      </w:r>
      <w:r w:rsidR="00935BB6" w:rsidRPr="00C93CCA">
        <w:t>10 месяцев 2025 года</w:t>
      </w:r>
      <w:r w:rsidR="008910B9" w:rsidRPr="00C93CCA">
        <w:t xml:space="preserve"> рост </w:t>
      </w:r>
      <w:r w:rsidR="00935BB6" w:rsidRPr="00C93CCA">
        <w:t xml:space="preserve">среднемесячной </w:t>
      </w:r>
      <w:r w:rsidR="008910B9" w:rsidRPr="00C93CCA">
        <w:t xml:space="preserve">заработной платы </w:t>
      </w:r>
      <w:r w:rsidR="00935BB6" w:rsidRPr="00C93CCA">
        <w:t xml:space="preserve">по </w:t>
      </w:r>
      <w:r w:rsidR="00935BB6" w:rsidRPr="00C93CCA">
        <w:lastRenderedPageBreak/>
        <w:t xml:space="preserve">сотрудникам, которым были установлены надбавки за счет высвободившихся ресурсов в результате применения мер налоговой поддержки, по сравнению с аналогичным периодом 2024 года </w:t>
      </w:r>
      <w:r w:rsidR="008910B9" w:rsidRPr="00C93CCA">
        <w:t>составил 31%</w:t>
      </w:r>
      <w:r w:rsidR="00835B80" w:rsidRPr="00C93CCA">
        <w:t>, оценочно по итогам 2025 года составит 26%</w:t>
      </w:r>
      <w:r w:rsidR="008910B9" w:rsidRPr="00C93CCA">
        <w:t xml:space="preserve">. </w:t>
      </w:r>
    </w:p>
    <w:p w:rsidR="00DC66E5" w:rsidRPr="00C93CCA" w:rsidRDefault="00DD4417" w:rsidP="00DD4417">
      <w:pPr>
        <w:ind w:firstLine="709"/>
        <w:jc w:val="both"/>
        <w:rPr>
          <w:szCs w:val="28"/>
        </w:rPr>
      </w:pPr>
      <w:r w:rsidRPr="00C93CCA">
        <w:rPr>
          <w:szCs w:val="28"/>
        </w:rPr>
        <w:t>Взаимодействие Правительства Новосибирской области и АО «Почта Росс</w:t>
      </w:r>
      <w:r w:rsidR="00DC66E5" w:rsidRPr="00C93CCA">
        <w:rPr>
          <w:szCs w:val="28"/>
        </w:rPr>
        <w:t>ии» по выполнению обязательств с</w:t>
      </w:r>
      <w:r w:rsidRPr="00C93CCA">
        <w:rPr>
          <w:szCs w:val="28"/>
        </w:rPr>
        <w:t>оглашени</w:t>
      </w:r>
      <w:r w:rsidR="00DC66E5" w:rsidRPr="00C93CCA">
        <w:rPr>
          <w:szCs w:val="28"/>
        </w:rPr>
        <w:t>й</w:t>
      </w:r>
      <w:r w:rsidRPr="00C93CCA">
        <w:rPr>
          <w:szCs w:val="28"/>
        </w:rPr>
        <w:t xml:space="preserve"> в части проведения комплекса мероприятий, направленных на нормализацию деятельности отделений почтовой связи, позволило стабилизировать финансово-экономическое состояние АО</w:t>
      </w:r>
      <w:r w:rsidR="0063176C" w:rsidRPr="00C93CCA">
        <w:rPr>
          <w:szCs w:val="28"/>
        </w:rPr>
        <w:t> </w:t>
      </w:r>
      <w:r w:rsidRPr="00C93CCA">
        <w:rPr>
          <w:szCs w:val="28"/>
        </w:rPr>
        <w:t xml:space="preserve">«Почта России» и </w:t>
      </w:r>
      <w:r w:rsidR="00DC66E5" w:rsidRPr="00C93CCA">
        <w:rPr>
          <w:szCs w:val="28"/>
        </w:rPr>
        <w:t>обеспечить по итог</w:t>
      </w:r>
      <w:r w:rsidR="00FB1F5C" w:rsidRPr="00C93CCA">
        <w:rPr>
          <w:szCs w:val="28"/>
        </w:rPr>
        <w:t>ам</w:t>
      </w:r>
      <w:r w:rsidR="00DC66E5" w:rsidRPr="00C93CCA">
        <w:rPr>
          <w:szCs w:val="28"/>
        </w:rPr>
        <w:t xml:space="preserve"> </w:t>
      </w:r>
      <w:r w:rsidR="00FB1F5C" w:rsidRPr="00C93CCA">
        <w:rPr>
          <w:szCs w:val="28"/>
        </w:rPr>
        <w:t>10</w:t>
      </w:r>
      <w:r w:rsidR="00DC66E5" w:rsidRPr="00C93CCA">
        <w:rPr>
          <w:szCs w:val="28"/>
        </w:rPr>
        <w:t xml:space="preserve"> месяцев 2025 года по сравнению с аналогичным периодом 2024 года прирост платежей по налогу на доходы физических лиц, перечисленному в консолидированный бюджет Новосибирской области АО «Почта России», в размере </w:t>
      </w:r>
      <w:r w:rsidR="00FB1F5C" w:rsidRPr="00C93CCA">
        <w:rPr>
          <w:szCs w:val="28"/>
        </w:rPr>
        <w:t>13</w:t>
      </w:r>
      <w:r w:rsidR="00DC66E5" w:rsidRPr="00C93CCA">
        <w:rPr>
          <w:szCs w:val="28"/>
        </w:rPr>
        <w:t xml:space="preserve">% (в абсолютном выражении – </w:t>
      </w:r>
      <w:r w:rsidR="00FB1F5C" w:rsidRPr="00C93CCA">
        <w:rPr>
          <w:szCs w:val="28"/>
        </w:rPr>
        <w:t>29,6</w:t>
      </w:r>
      <w:r w:rsidR="00DC66E5" w:rsidRPr="00C93CCA">
        <w:rPr>
          <w:szCs w:val="28"/>
        </w:rPr>
        <w:t xml:space="preserve"> млн. рублей).</w:t>
      </w:r>
      <w:r w:rsidR="0058008D" w:rsidRPr="00C93CCA">
        <w:rPr>
          <w:szCs w:val="28"/>
        </w:rPr>
        <w:t xml:space="preserve"> Оценочно, по итогам 2025 года прирост составит </w:t>
      </w:r>
      <w:r w:rsidR="00FB1F5C" w:rsidRPr="00C93CCA">
        <w:rPr>
          <w:szCs w:val="28"/>
        </w:rPr>
        <w:t>15</w:t>
      </w:r>
      <w:r w:rsidR="0058008D" w:rsidRPr="00C93CCA">
        <w:rPr>
          <w:szCs w:val="28"/>
        </w:rPr>
        <w:t xml:space="preserve">%, по итогам 2026 года – </w:t>
      </w:r>
      <w:r w:rsidR="00FB1F5C" w:rsidRPr="00C93CCA">
        <w:rPr>
          <w:szCs w:val="28"/>
        </w:rPr>
        <w:t>5</w:t>
      </w:r>
      <w:r w:rsidR="0058008D" w:rsidRPr="00C93CCA">
        <w:rPr>
          <w:szCs w:val="28"/>
        </w:rPr>
        <w:t>%.</w:t>
      </w:r>
    </w:p>
    <w:p w:rsidR="00512205" w:rsidRPr="00C93CCA" w:rsidRDefault="00CF5631">
      <w:pPr>
        <w:ind w:firstLine="709"/>
        <w:jc w:val="both"/>
        <w:rPr>
          <w:szCs w:val="28"/>
        </w:rPr>
      </w:pPr>
      <w:r w:rsidRPr="00C93CCA">
        <w:rPr>
          <w:szCs w:val="28"/>
        </w:rPr>
        <w:t xml:space="preserve">Снижение налоговой нагрузки </w:t>
      </w:r>
      <w:r w:rsidR="00DD4417" w:rsidRPr="00C93CCA">
        <w:rPr>
          <w:szCs w:val="28"/>
        </w:rPr>
        <w:t>в 202</w:t>
      </w:r>
      <w:r w:rsidR="00E150C2" w:rsidRPr="00C93CCA">
        <w:rPr>
          <w:szCs w:val="28"/>
        </w:rPr>
        <w:t>6</w:t>
      </w:r>
      <w:r w:rsidR="00DD4417" w:rsidRPr="00C93CCA">
        <w:rPr>
          <w:szCs w:val="28"/>
        </w:rPr>
        <w:t xml:space="preserve"> году </w:t>
      </w:r>
      <w:r w:rsidR="00E535E0" w:rsidRPr="00C93CCA">
        <w:rPr>
          <w:szCs w:val="28"/>
        </w:rPr>
        <w:t>направлено</w:t>
      </w:r>
      <w:r w:rsidR="00685EF1" w:rsidRPr="00C93CCA">
        <w:rPr>
          <w:szCs w:val="28"/>
        </w:rPr>
        <w:t>, прежде всего, на</w:t>
      </w:r>
      <w:r w:rsidR="00E535E0" w:rsidRPr="00C93CCA">
        <w:rPr>
          <w:szCs w:val="28"/>
        </w:rPr>
        <w:t xml:space="preserve"> </w:t>
      </w:r>
      <w:r w:rsidRPr="00C93CCA">
        <w:rPr>
          <w:szCs w:val="28"/>
        </w:rPr>
        <w:t>обеспеч</w:t>
      </w:r>
      <w:r w:rsidR="00685EF1" w:rsidRPr="00C93CCA">
        <w:rPr>
          <w:szCs w:val="28"/>
        </w:rPr>
        <w:t>ение</w:t>
      </w:r>
      <w:r w:rsidRPr="00C93CCA">
        <w:rPr>
          <w:szCs w:val="28"/>
        </w:rPr>
        <w:t xml:space="preserve"> стабильност</w:t>
      </w:r>
      <w:r w:rsidR="00685EF1" w:rsidRPr="00C93CCA">
        <w:rPr>
          <w:szCs w:val="28"/>
        </w:rPr>
        <w:t>и</w:t>
      </w:r>
      <w:r w:rsidRPr="00C93CCA">
        <w:rPr>
          <w:szCs w:val="28"/>
        </w:rPr>
        <w:t>, бесперебойност</w:t>
      </w:r>
      <w:r w:rsidR="00685EF1" w:rsidRPr="00C93CCA">
        <w:rPr>
          <w:szCs w:val="28"/>
        </w:rPr>
        <w:t>и</w:t>
      </w:r>
      <w:r w:rsidRPr="00C93CCA">
        <w:rPr>
          <w:szCs w:val="28"/>
        </w:rPr>
        <w:t xml:space="preserve"> и своевременност</w:t>
      </w:r>
      <w:r w:rsidR="00685EF1" w:rsidRPr="00C93CCA">
        <w:rPr>
          <w:szCs w:val="28"/>
        </w:rPr>
        <w:t>и</w:t>
      </w:r>
      <w:r w:rsidRPr="00C93CCA">
        <w:rPr>
          <w:szCs w:val="28"/>
        </w:rPr>
        <w:t xml:space="preserve"> предоставления услуг почтовой связи, доставки пенсий и других социальных выплат на всей территории Новосибирской области, в том числе в малых насел</w:t>
      </w:r>
      <w:r w:rsidR="0063176C" w:rsidRPr="00C93CCA">
        <w:rPr>
          <w:szCs w:val="28"/>
        </w:rPr>
        <w:t>ё</w:t>
      </w:r>
      <w:r w:rsidRPr="00C93CCA">
        <w:rPr>
          <w:szCs w:val="28"/>
        </w:rPr>
        <w:t>нных пунктах на отдал</w:t>
      </w:r>
      <w:r w:rsidR="0063176C" w:rsidRPr="00C93CCA">
        <w:rPr>
          <w:szCs w:val="28"/>
        </w:rPr>
        <w:t>ё</w:t>
      </w:r>
      <w:r w:rsidRPr="00C93CCA">
        <w:rPr>
          <w:szCs w:val="28"/>
        </w:rPr>
        <w:t>нных и труднодоступных территориях, за сч</w:t>
      </w:r>
      <w:r w:rsidR="0063176C" w:rsidRPr="00C93CCA">
        <w:rPr>
          <w:szCs w:val="28"/>
        </w:rPr>
        <w:t>ё</w:t>
      </w:r>
      <w:r w:rsidRPr="00C93CCA">
        <w:rPr>
          <w:szCs w:val="28"/>
        </w:rPr>
        <w:t>т недопущения закрытия почтовых отделений, поддержа</w:t>
      </w:r>
      <w:r w:rsidR="00685EF1" w:rsidRPr="00C93CCA">
        <w:rPr>
          <w:szCs w:val="28"/>
        </w:rPr>
        <w:t>ни</w:t>
      </w:r>
      <w:r w:rsidR="00C20BE8" w:rsidRPr="00C93CCA">
        <w:rPr>
          <w:szCs w:val="28"/>
        </w:rPr>
        <w:t>я</w:t>
      </w:r>
      <w:r w:rsidRPr="00C93CCA">
        <w:rPr>
          <w:szCs w:val="28"/>
        </w:rPr>
        <w:t xml:space="preserve"> уров</w:t>
      </w:r>
      <w:r w:rsidR="00685EF1" w:rsidRPr="00C93CCA">
        <w:rPr>
          <w:szCs w:val="28"/>
        </w:rPr>
        <w:t>ня</w:t>
      </w:r>
      <w:r w:rsidRPr="00C93CCA">
        <w:rPr>
          <w:szCs w:val="28"/>
        </w:rPr>
        <w:t xml:space="preserve"> занятости сотрудников и их доход</w:t>
      </w:r>
      <w:r w:rsidR="00685EF1" w:rsidRPr="00C93CCA">
        <w:rPr>
          <w:szCs w:val="28"/>
        </w:rPr>
        <w:t>ов</w:t>
      </w:r>
      <w:r w:rsidR="00DF1E47" w:rsidRPr="00C93CCA">
        <w:rPr>
          <w:szCs w:val="28"/>
        </w:rPr>
        <w:t>.</w:t>
      </w:r>
    </w:p>
    <w:p w:rsidR="00512205" w:rsidRPr="00C93CCA" w:rsidRDefault="00CF5631">
      <w:pPr>
        <w:spacing w:after="1" w:line="200" w:lineRule="atLeast"/>
        <w:ind w:firstLine="709"/>
        <w:jc w:val="both"/>
      </w:pPr>
      <w:r w:rsidRPr="00C93CCA">
        <w:rPr>
          <w:szCs w:val="28"/>
        </w:rPr>
        <w:t>Объ</w:t>
      </w:r>
      <w:r w:rsidR="00C521FF" w:rsidRPr="00C93CCA">
        <w:rPr>
          <w:szCs w:val="28"/>
        </w:rPr>
        <w:t>ё</w:t>
      </w:r>
      <w:r w:rsidRPr="00C93CCA">
        <w:rPr>
          <w:szCs w:val="28"/>
        </w:rPr>
        <w:t xml:space="preserve">м </w:t>
      </w:r>
      <w:r w:rsidR="00685EF1" w:rsidRPr="00C93CCA">
        <w:rPr>
          <w:szCs w:val="28"/>
        </w:rPr>
        <w:t>недополученных</w:t>
      </w:r>
      <w:r w:rsidRPr="00C93CCA">
        <w:rPr>
          <w:szCs w:val="28"/>
        </w:rPr>
        <w:t xml:space="preserve"> доходов </w:t>
      </w:r>
      <w:r w:rsidR="003D4F65" w:rsidRPr="00C93CCA">
        <w:rPr>
          <w:szCs w:val="28"/>
        </w:rPr>
        <w:t xml:space="preserve">областного </w:t>
      </w:r>
      <w:r w:rsidRPr="00C93CCA">
        <w:rPr>
          <w:szCs w:val="28"/>
        </w:rPr>
        <w:t>бюджета Новосибирской области на 202</w:t>
      </w:r>
      <w:r w:rsidR="00935BB6" w:rsidRPr="00C93CCA">
        <w:rPr>
          <w:szCs w:val="28"/>
        </w:rPr>
        <w:t>6</w:t>
      </w:r>
      <w:r w:rsidRPr="00C93CCA">
        <w:rPr>
          <w:szCs w:val="28"/>
        </w:rPr>
        <w:t xml:space="preserve"> год </w:t>
      </w:r>
      <w:r w:rsidR="00685EF1" w:rsidRPr="00C93CCA">
        <w:rPr>
          <w:szCs w:val="28"/>
        </w:rPr>
        <w:t xml:space="preserve">оценивается в сумме </w:t>
      </w:r>
      <w:r w:rsidR="00FD73F5" w:rsidRPr="00C93CCA">
        <w:rPr>
          <w:szCs w:val="28"/>
        </w:rPr>
        <w:t>25</w:t>
      </w:r>
      <w:r w:rsidR="0031204A" w:rsidRPr="00C93CCA">
        <w:rPr>
          <w:szCs w:val="28"/>
        </w:rPr>
        <w:t>,</w:t>
      </w:r>
      <w:r w:rsidR="00FD73F5" w:rsidRPr="00C93CCA">
        <w:rPr>
          <w:szCs w:val="28"/>
        </w:rPr>
        <w:t>7</w:t>
      </w:r>
      <w:r w:rsidR="00685EF1" w:rsidRPr="00C93CCA">
        <w:rPr>
          <w:szCs w:val="28"/>
        </w:rPr>
        <w:t xml:space="preserve"> млн рублей, из них:</w:t>
      </w:r>
    </w:p>
    <w:p w:rsidR="00512205" w:rsidRPr="00C93CCA" w:rsidRDefault="00CF5631">
      <w:pPr>
        <w:spacing w:after="1" w:line="200" w:lineRule="atLeast"/>
        <w:ind w:firstLine="709"/>
        <w:jc w:val="both"/>
        <w:rPr>
          <w:szCs w:val="28"/>
        </w:rPr>
      </w:pPr>
      <w:r w:rsidRPr="00C93CCA">
        <w:rPr>
          <w:szCs w:val="28"/>
        </w:rPr>
        <w:t>по нал</w:t>
      </w:r>
      <w:r w:rsidR="00E67B74" w:rsidRPr="00C93CCA">
        <w:rPr>
          <w:szCs w:val="28"/>
        </w:rPr>
        <w:t xml:space="preserve">огу на имущество организаций – </w:t>
      </w:r>
      <w:r w:rsidR="00285046" w:rsidRPr="00C93CCA">
        <w:rPr>
          <w:szCs w:val="28"/>
        </w:rPr>
        <w:t>24,2</w:t>
      </w:r>
      <w:r w:rsidR="00E67B74" w:rsidRPr="00C93CCA">
        <w:rPr>
          <w:szCs w:val="28"/>
        </w:rPr>
        <w:t xml:space="preserve"> </w:t>
      </w:r>
      <w:r w:rsidRPr="00C93CCA">
        <w:rPr>
          <w:szCs w:val="28"/>
        </w:rPr>
        <w:t>млн рублей;</w:t>
      </w:r>
    </w:p>
    <w:p w:rsidR="00512205" w:rsidRPr="00C93CCA" w:rsidRDefault="009B2381">
      <w:pPr>
        <w:spacing w:after="1" w:line="200" w:lineRule="atLeast"/>
        <w:ind w:firstLine="709"/>
        <w:jc w:val="both"/>
        <w:rPr>
          <w:szCs w:val="28"/>
        </w:rPr>
      </w:pPr>
      <w:r w:rsidRPr="00C93CCA">
        <w:rPr>
          <w:szCs w:val="28"/>
        </w:rPr>
        <w:t xml:space="preserve">по транспортному налогу – </w:t>
      </w:r>
      <w:r w:rsidR="00A44C8D" w:rsidRPr="00C93CCA">
        <w:rPr>
          <w:szCs w:val="28"/>
        </w:rPr>
        <w:t>1,5</w:t>
      </w:r>
      <w:r w:rsidR="00CF5631" w:rsidRPr="00C93CCA">
        <w:rPr>
          <w:szCs w:val="28"/>
        </w:rPr>
        <w:t xml:space="preserve"> млн рублей.</w:t>
      </w:r>
    </w:p>
    <w:p w:rsidR="007E1C25" w:rsidRPr="00C93CCA" w:rsidRDefault="007E1C25">
      <w:pPr>
        <w:ind w:firstLine="709"/>
        <w:jc w:val="both"/>
        <w:rPr>
          <w:szCs w:val="28"/>
        </w:rPr>
      </w:pPr>
      <w:r w:rsidRPr="00C93CCA">
        <w:rPr>
          <w:szCs w:val="28"/>
        </w:rPr>
        <w:t>Расч</w:t>
      </w:r>
      <w:r w:rsidR="00C521FF" w:rsidRPr="00C93CCA">
        <w:rPr>
          <w:szCs w:val="28"/>
        </w:rPr>
        <w:t>ё</w:t>
      </w:r>
      <w:r w:rsidRPr="00C93CCA">
        <w:rPr>
          <w:szCs w:val="28"/>
        </w:rPr>
        <w:t>т произведен на примере АО «Почта России»</w:t>
      </w:r>
      <w:r w:rsidR="006C1E0D" w:rsidRPr="00C93CCA">
        <w:rPr>
          <w:szCs w:val="28"/>
        </w:rPr>
        <w:t xml:space="preserve"> как одного из крупнейших предприятий региона, выполняющего функции федерального почтового и логистического оператора</w:t>
      </w:r>
      <w:r w:rsidR="00421BF9" w:rsidRPr="00C93CCA">
        <w:rPr>
          <w:szCs w:val="28"/>
        </w:rPr>
        <w:t>, на основании исчисленных сумм налогов для уплаты на основе базы 202</w:t>
      </w:r>
      <w:r w:rsidR="005677B2" w:rsidRPr="00C93CCA">
        <w:rPr>
          <w:szCs w:val="28"/>
        </w:rPr>
        <w:t>5</w:t>
      </w:r>
      <w:r w:rsidR="00421BF9" w:rsidRPr="00C93CCA">
        <w:rPr>
          <w:szCs w:val="28"/>
        </w:rPr>
        <w:t xml:space="preserve"> года, в том числе:</w:t>
      </w:r>
    </w:p>
    <w:p w:rsidR="00421BF9" w:rsidRPr="00C93CCA" w:rsidRDefault="00421BF9">
      <w:pPr>
        <w:ind w:firstLine="709"/>
        <w:jc w:val="both"/>
        <w:rPr>
          <w:szCs w:val="28"/>
        </w:rPr>
      </w:pPr>
      <w:r w:rsidRPr="00C93CCA">
        <w:rPr>
          <w:szCs w:val="28"/>
        </w:rPr>
        <w:t xml:space="preserve">по недвижимому имуществу, подлежащему налогообложению, в отношении </w:t>
      </w:r>
      <w:r w:rsidR="005677B2" w:rsidRPr="00C93CCA">
        <w:rPr>
          <w:szCs w:val="28"/>
        </w:rPr>
        <w:t>710</w:t>
      </w:r>
      <w:r w:rsidRPr="00C93CCA">
        <w:rPr>
          <w:szCs w:val="28"/>
        </w:rPr>
        <w:t xml:space="preserve"> объект</w:t>
      </w:r>
      <w:r w:rsidR="005677B2" w:rsidRPr="00C93CCA">
        <w:rPr>
          <w:szCs w:val="28"/>
        </w:rPr>
        <w:t>ов</w:t>
      </w:r>
      <w:r w:rsidR="00AA73A6" w:rsidRPr="00C93CCA">
        <w:rPr>
          <w:szCs w:val="28"/>
        </w:rPr>
        <w:t xml:space="preserve"> </w:t>
      </w:r>
      <w:r w:rsidR="00B80B98" w:rsidRPr="00C93CCA">
        <w:rPr>
          <w:szCs w:val="28"/>
        </w:rPr>
        <w:t xml:space="preserve">(сумма налога </w:t>
      </w:r>
      <w:r w:rsidR="005677B2" w:rsidRPr="00C93CCA">
        <w:rPr>
          <w:szCs w:val="28"/>
        </w:rPr>
        <w:t>24,2</w:t>
      </w:r>
      <w:r w:rsidR="00B80B98" w:rsidRPr="00C93CCA">
        <w:rPr>
          <w:szCs w:val="28"/>
        </w:rPr>
        <w:t xml:space="preserve"> млн рублей)</w:t>
      </w:r>
      <w:r w:rsidR="001938DF" w:rsidRPr="00C93CCA">
        <w:rPr>
          <w:szCs w:val="28"/>
        </w:rPr>
        <w:t>;</w:t>
      </w:r>
    </w:p>
    <w:p w:rsidR="00421BF9" w:rsidRPr="00C93CCA" w:rsidRDefault="00421BF9" w:rsidP="0063176C">
      <w:pPr>
        <w:ind w:firstLine="709"/>
        <w:jc w:val="both"/>
        <w:rPr>
          <w:szCs w:val="28"/>
        </w:rPr>
      </w:pPr>
      <w:r w:rsidRPr="00C93CCA">
        <w:rPr>
          <w:szCs w:val="28"/>
        </w:rPr>
        <w:t xml:space="preserve">по транспортным средствам </w:t>
      </w:r>
      <w:r w:rsidR="003C1D61" w:rsidRPr="00C93CCA">
        <w:rPr>
          <w:szCs w:val="28"/>
        </w:rPr>
        <w:t>(всего 3</w:t>
      </w:r>
      <w:r w:rsidR="005677B2" w:rsidRPr="00C93CCA">
        <w:rPr>
          <w:szCs w:val="28"/>
        </w:rPr>
        <w:t>43</w:t>
      </w:r>
      <w:r w:rsidR="003C1D61" w:rsidRPr="00C93CCA">
        <w:rPr>
          <w:szCs w:val="28"/>
        </w:rPr>
        <w:t xml:space="preserve"> ед.) </w:t>
      </w:r>
      <w:r w:rsidR="0063176C" w:rsidRPr="00C93CCA">
        <w:rPr>
          <w:szCs w:val="28"/>
        </w:rPr>
        <w:t>–</w:t>
      </w:r>
      <w:r w:rsidRPr="00C93CCA">
        <w:rPr>
          <w:szCs w:val="28"/>
        </w:rPr>
        <w:t xml:space="preserve"> в отношении 3</w:t>
      </w:r>
      <w:r w:rsidR="005677B2" w:rsidRPr="00C93CCA">
        <w:rPr>
          <w:szCs w:val="28"/>
        </w:rPr>
        <w:t>17</w:t>
      </w:r>
      <w:r w:rsidRPr="00C93CCA">
        <w:rPr>
          <w:szCs w:val="28"/>
        </w:rPr>
        <w:t xml:space="preserve"> объект</w:t>
      </w:r>
      <w:r w:rsidR="003115C2" w:rsidRPr="00C93CCA">
        <w:rPr>
          <w:szCs w:val="28"/>
        </w:rPr>
        <w:t>ов</w:t>
      </w:r>
      <w:r w:rsidR="003C1D61" w:rsidRPr="00C93CCA">
        <w:rPr>
          <w:szCs w:val="28"/>
        </w:rPr>
        <w:t xml:space="preserve">, за исключением легковых автомобилей с мощностью двигателя свыше 150 </w:t>
      </w:r>
      <w:proofErr w:type="spellStart"/>
      <w:r w:rsidR="003C1D61" w:rsidRPr="00C93CCA">
        <w:rPr>
          <w:szCs w:val="28"/>
        </w:rPr>
        <w:t>л.с</w:t>
      </w:r>
      <w:proofErr w:type="spellEnd"/>
      <w:r w:rsidR="003C1D61" w:rsidRPr="00C93CCA">
        <w:rPr>
          <w:szCs w:val="28"/>
        </w:rPr>
        <w:t xml:space="preserve">. </w:t>
      </w:r>
      <w:r w:rsidR="0063176C" w:rsidRPr="00C93CCA">
        <w:rPr>
          <w:szCs w:val="28"/>
        </w:rPr>
        <w:t>–</w:t>
      </w:r>
      <w:r w:rsidR="003C1D61" w:rsidRPr="00C93CCA">
        <w:rPr>
          <w:szCs w:val="28"/>
        </w:rPr>
        <w:t xml:space="preserve"> </w:t>
      </w:r>
      <w:r w:rsidR="005677B2" w:rsidRPr="00C93CCA">
        <w:rPr>
          <w:szCs w:val="28"/>
        </w:rPr>
        <w:t xml:space="preserve">исчисленная </w:t>
      </w:r>
      <w:r w:rsidR="00B80B98" w:rsidRPr="00C93CCA">
        <w:rPr>
          <w:szCs w:val="28"/>
        </w:rPr>
        <w:t xml:space="preserve">сумма налога </w:t>
      </w:r>
      <w:r w:rsidR="005677B2" w:rsidRPr="00C93CCA">
        <w:rPr>
          <w:szCs w:val="28"/>
        </w:rPr>
        <w:t xml:space="preserve">составляет </w:t>
      </w:r>
      <w:r w:rsidR="00B80B98" w:rsidRPr="00C93CCA">
        <w:rPr>
          <w:szCs w:val="28"/>
        </w:rPr>
        <w:t>1,</w:t>
      </w:r>
      <w:r w:rsidR="005677B2" w:rsidRPr="00C93CCA">
        <w:rPr>
          <w:szCs w:val="28"/>
        </w:rPr>
        <w:t>5</w:t>
      </w:r>
      <w:r w:rsidR="00B80B98" w:rsidRPr="00C93CCA">
        <w:rPr>
          <w:szCs w:val="28"/>
        </w:rPr>
        <w:t xml:space="preserve"> млн рублей</w:t>
      </w:r>
      <w:r w:rsidRPr="00C93CCA">
        <w:rPr>
          <w:szCs w:val="28"/>
        </w:rPr>
        <w:t>.</w:t>
      </w:r>
    </w:p>
    <w:p w:rsidR="00795C31" w:rsidRPr="00C93CCA" w:rsidRDefault="00795C31" w:rsidP="00795C31">
      <w:pPr>
        <w:ind w:firstLine="709"/>
        <w:jc w:val="both"/>
        <w:rPr>
          <w:szCs w:val="28"/>
        </w:rPr>
      </w:pPr>
      <w:r w:rsidRPr="00C93CCA">
        <w:rPr>
          <w:szCs w:val="28"/>
        </w:rPr>
        <w:t>По информации АО «Почта России»</w:t>
      </w:r>
      <w:r w:rsidR="006B0854" w:rsidRPr="00C93CCA">
        <w:rPr>
          <w:szCs w:val="28"/>
        </w:rPr>
        <w:t>,</w:t>
      </w:r>
      <w:r w:rsidRPr="00C93CCA">
        <w:rPr>
          <w:szCs w:val="28"/>
        </w:rPr>
        <w:t xml:space="preserve"> предоставление налоговых льгот в виде социальных налоговых расходов в размере </w:t>
      </w:r>
      <w:r w:rsidR="00FB1F5C" w:rsidRPr="00C93CCA">
        <w:rPr>
          <w:szCs w:val="28"/>
        </w:rPr>
        <w:t>25,7</w:t>
      </w:r>
      <w:r w:rsidRPr="00C93CCA">
        <w:rPr>
          <w:szCs w:val="28"/>
        </w:rPr>
        <w:t xml:space="preserve"> млн рублей позволит обеспечить нормальное функционирование и поддержание в работоспособном состоянии </w:t>
      </w:r>
      <w:r w:rsidR="003D4F65" w:rsidRPr="00C93CCA">
        <w:t xml:space="preserve">отделений </w:t>
      </w:r>
      <w:r w:rsidRPr="00C93CCA">
        <w:t xml:space="preserve">почтовой связи, </w:t>
      </w:r>
      <w:r w:rsidR="003D4F65" w:rsidRPr="00C93CCA">
        <w:t xml:space="preserve">возобновивших </w:t>
      </w:r>
      <w:r w:rsidRPr="00C93CCA">
        <w:t>работу в 2024</w:t>
      </w:r>
      <w:r w:rsidR="005677B2" w:rsidRPr="00C93CCA">
        <w:t>-2025</w:t>
      </w:r>
      <w:r w:rsidRPr="00C93CCA">
        <w:t xml:space="preserve"> год</w:t>
      </w:r>
      <w:r w:rsidR="005677B2" w:rsidRPr="00C93CCA">
        <w:t>ах</w:t>
      </w:r>
      <w:r w:rsidR="00C4226B" w:rsidRPr="00C93CCA">
        <w:t xml:space="preserve"> (всего в 2024</w:t>
      </w:r>
      <w:r w:rsidR="005677B2" w:rsidRPr="00C93CCA">
        <w:t>-2025</w:t>
      </w:r>
      <w:r w:rsidR="00C4226B" w:rsidRPr="00C93CCA">
        <w:t xml:space="preserve"> год</w:t>
      </w:r>
      <w:r w:rsidR="005677B2" w:rsidRPr="00C93CCA">
        <w:t>ах</w:t>
      </w:r>
      <w:r w:rsidR="00C4226B" w:rsidRPr="00C93CCA">
        <w:t xml:space="preserve"> возобновил</w:t>
      </w:r>
      <w:r w:rsidR="00A6233D" w:rsidRPr="00C93CCA">
        <w:t>о</w:t>
      </w:r>
      <w:r w:rsidR="00C4226B" w:rsidRPr="00C93CCA">
        <w:t xml:space="preserve"> работу </w:t>
      </w:r>
      <w:r w:rsidR="005677B2" w:rsidRPr="00C93CCA">
        <w:t>3</w:t>
      </w:r>
      <w:r w:rsidR="00A6233D" w:rsidRPr="00C93CCA">
        <w:t>1</w:t>
      </w:r>
      <w:r w:rsidR="00C4226B" w:rsidRPr="00C93CCA">
        <w:t xml:space="preserve"> </w:t>
      </w:r>
      <w:r w:rsidR="006B0854" w:rsidRPr="00C93CCA">
        <w:t>отделени</w:t>
      </w:r>
      <w:r w:rsidR="00A6233D" w:rsidRPr="00C93CCA">
        <w:t>е</w:t>
      </w:r>
      <w:r w:rsidR="006B0854" w:rsidRPr="00C93CCA">
        <w:t xml:space="preserve"> почтовой связи</w:t>
      </w:r>
      <w:r w:rsidR="00E45798" w:rsidRPr="00C93CCA">
        <w:t xml:space="preserve"> из планируемых 3</w:t>
      </w:r>
      <w:r w:rsidR="00A6233D" w:rsidRPr="00C93CCA">
        <w:t>3</w:t>
      </w:r>
      <w:r w:rsidR="00C4226B" w:rsidRPr="00C93CCA">
        <w:t xml:space="preserve">), </w:t>
      </w:r>
      <w:r w:rsidR="00FE32B6" w:rsidRPr="00C93CCA">
        <w:t xml:space="preserve">а также </w:t>
      </w:r>
      <w:r w:rsidR="003D4F65" w:rsidRPr="00C93CCA">
        <w:t xml:space="preserve">возобновить работу </w:t>
      </w:r>
      <w:r w:rsidR="00FB1F5C" w:rsidRPr="00C93CCA">
        <w:t>6</w:t>
      </w:r>
      <w:r w:rsidR="00FE32B6" w:rsidRPr="00C93CCA">
        <w:t xml:space="preserve"> </w:t>
      </w:r>
      <w:r w:rsidRPr="00C93CCA">
        <w:rPr>
          <w:szCs w:val="28"/>
        </w:rPr>
        <w:t xml:space="preserve">отделений почтовой связи </w:t>
      </w:r>
      <w:r w:rsidR="008A776D" w:rsidRPr="00C93CCA">
        <w:rPr>
          <w:szCs w:val="28"/>
        </w:rPr>
        <w:t xml:space="preserve">в 2026 году </w:t>
      </w:r>
      <w:r w:rsidRPr="00C93CCA">
        <w:rPr>
          <w:szCs w:val="28"/>
        </w:rPr>
        <w:t xml:space="preserve">из числа нефункционирующих в настоящее время </w:t>
      </w:r>
      <w:r w:rsidR="00C4226B" w:rsidRPr="00C93CCA">
        <w:rPr>
          <w:szCs w:val="28"/>
        </w:rPr>
        <w:t>по причине некомплекта штата</w:t>
      </w:r>
      <w:r w:rsidR="005677B2" w:rsidRPr="00C93CCA">
        <w:rPr>
          <w:szCs w:val="28"/>
        </w:rPr>
        <w:t xml:space="preserve"> </w:t>
      </w:r>
      <w:r w:rsidRPr="00C93CCA">
        <w:rPr>
          <w:szCs w:val="28"/>
        </w:rPr>
        <w:t>посредством повышения размера оплаты труда</w:t>
      </w:r>
      <w:r w:rsidR="00897D90" w:rsidRPr="00C93CCA">
        <w:rPr>
          <w:szCs w:val="28"/>
        </w:rPr>
        <w:t xml:space="preserve">. </w:t>
      </w:r>
      <w:r w:rsidRPr="00C93CCA">
        <w:rPr>
          <w:szCs w:val="28"/>
        </w:rPr>
        <w:t>Суммарно</w:t>
      </w:r>
      <w:r w:rsidR="00095372" w:rsidRPr="00C93CCA">
        <w:rPr>
          <w:szCs w:val="28"/>
        </w:rPr>
        <w:t xml:space="preserve"> за 2024-</w:t>
      </w:r>
      <w:r w:rsidR="00C4226B" w:rsidRPr="00C93CCA">
        <w:rPr>
          <w:szCs w:val="28"/>
        </w:rPr>
        <w:t>202</w:t>
      </w:r>
      <w:r w:rsidR="00095372" w:rsidRPr="00C93CCA">
        <w:rPr>
          <w:szCs w:val="28"/>
        </w:rPr>
        <w:t>6</w:t>
      </w:r>
      <w:r w:rsidR="00C4226B" w:rsidRPr="00C93CCA">
        <w:rPr>
          <w:szCs w:val="28"/>
        </w:rPr>
        <w:t xml:space="preserve"> годы</w:t>
      </w:r>
      <w:r w:rsidRPr="00C93CCA">
        <w:rPr>
          <w:szCs w:val="28"/>
        </w:rPr>
        <w:t xml:space="preserve"> </w:t>
      </w:r>
      <w:r w:rsidR="00897D90" w:rsidRPr="00C93CCA">
        <w:rPr>
          <w:szCs w:val="28"/>
        </w:rPr>
        <w:t xml:space="preserve">возобновление работы </w:t>
      </w:r>
      <w:r w:rsidR="00A6233D" w:rsidRPr="00C93CCA">
        <w:rPr>
          <w:szCs w:val="28"/>
        </w:rPr>
        <w:t>39</w:t>
      </w:r>
      <w:r w:rsidRPr="00C93CCA">
        <w:rPr>
          <w:szCs w:val="28"/>
        </w:rPr>
        <w:t xml:space="preserve"> отделений почтовой связи на территории Новосибирской области позволит обеспечить доступность услуг почтовой связи для </w:t>
      </w:r>
      <w:r w:rsidR="00A6233D" w:rsidRPr="00C93CCA">
        <w:rPr>
          <w:szCs w:val="28"/>
        </w:rPr>
        <w:t>39,4</w:t>
      </w:r>
      <w:r w:rsidRPr="00C93CCA">
        <w:rPr>
          <w:szCs w:val="28"/>
        </w:rPr>
        <w:t xml:space="preserve"> тыс. человек</w:t>
      </w:r>
      <w:r w:rsidR="00095372" w:rsidRPr="00C93CCA">
        <w:rPr>
          <w:szCs w:val="28"/>
        </w:rPr>
        <w:t>.</w:t>
      </w:r>
    </w:p>
    <w:p w:rsidR="00512205" w:rsidRPr="00C93CCA" w:rsidRDefault="00CF5631">
      <w:pPr>
        <w:spacing w:after="1" w:line="200" w:lineRule="atLeast"/>
        <w:ind w:firstLine="709"/>
        <w:jc w:val="both"/>
      </w:pPr>
      <w:r w:rsidRPr="00C93CCA">
        <w:rPr>
          <w:szCs w:val="28"/>
        </w:rPr>
        <w:lastRenderedPageBreak/>
        <w:t>Обязательства направлять высвободившиеся в результате применения налоговых льгот средства на нормализацию функционирования организаций, что позволит обеспечить, в том числе, выполнение социальных обязательств в малых насел</w:t>
      </w:r>
      <w:r w:rsidR="006B0854" w:rsidRPr="00C93CCA">
        <w:rPr>
          <w:szCs w:val="28"/>
        </w:rPr>
        <w:t>ё</w:t>
      </w:r>
      <w:r w:rsidRPr="00C93CCA">
        <w:rPr>
          <w:szCs w:val="28"/>
        </w:rPr>
        <w:t>нных пунктах на отдал</w:t>
      </w:r>
      <w:r w:rsidR="006B0854" w:rsidRPr="00C93CCA">
        <w:rPr>
          <w:szCs w:val="28"/>
        </w:rPr>
        <w:t>ё</w:t>
      </w:r>
      <w:r w:rsidRPr="00C93CCA">
        <w:rPr>
          <w:szCs w:val="28"/>
        </w:rPr>
        <w:t xml:space="preserve">нных и труднодоступных территориях Новосибирской области, </w:t>
      </w:r>
      <w:r w:rsidR="00685EF1" w:rsidRPr="00C93CCA">
        <w:rPr>
          <w:szCs w:val="28"/>
        </w:rPr>
        <w:t>на сохранение достигнутых уровней оплаты труда и численности работников отделений почтовой связи и дальнейшее их увеличение</w:t>
      </w:r>
      <w:r w:rsidR="003D4F65" w:rsidRPr="00C93CCA">
        <w:rPr>
          <w:szCs w:val="28"/>
        </w:rPr>
        <w:t>,</w:t>
      </w:r>
      <w:r w:rsidR="00685EF1" w:rsidRPr="00C93CCA">
        <w:rPr>
          <w:szCs w:val="28"/>
        </w:rPr>
        <w:t xml:space="preserve"> </w:t>
      </w:r>
      <w:r w:rsidRPr="00C93CCA">
        <w:rPr>
          <w:szCs w:val="28"/>
        </w:rPr>
        <w:t>планируется зафиксировать подписанием соглашения между Правительством Новосибирской области и получателем указанных льгот.</w:t>
      </w:r>
    </w:p>
    <w:p w:rsidR="00685EF1" w:rsidRPr="00CA51C1" w:rsidRDefault="00685EF1" w:rsidP="00685EF1">
      <w:pPr>
        <w:ind w:firstLine="709"/>
        <w:jc w:val="both"/>
        <w:rPr>
          <w:szCs w:val="28"/>
        </w:rPr>
      </w:pPr>
      <w:r w:rsidRPr="00C93CCA">
        <w:rPr>
          <w:szCs w:val="28"/>
        </w:rPr>
        <w:t>Оценка эффективности налоговых расходов будет осуществляться министерством цифрового развития и связи Новосибирской области – куратором соответствующих налоговых расходов.</w:t>
      </w:r>
      <w:bookmarkStart w:id="0" w:name="_GoBack"/>
      <w:bookmarkEnd w:id="0"/>
      <w:r w:rsidRPr="00CA51C1">
        <w:rPr>
          <w:szCs w:val="28"/>
        </w:rPr>
        <w:t xml:space="preserve"> </w:t>
      </w:r>
    </w:p>
    <w:p w:rsidR="00FC1F46" w:rsidRPr="00CA51C1" w:rsidRDefault="00FC1F46" w:rsidP="00685EF1">
      <w:pPr>
        <w:ind w:firstLine="709"/>
        <w:jc w:val="both"/>
        <w:rPr>
          <w:szCs w:val="28"/>
        </w:rPr>
      </w:pPr>
    </w:p>
    <w:sectPr w:rsidR="00FC1F46" w:rsidRPr="00CA51C1" w:rsidSect="003F759C">
      <w:headerReference w:type="default" r:id="rId7"/>
      <w:pgSz w:w="11906" w:h="16838"/>
      <w:pgMar w:top="1134" w:right="567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7B8" w:rsidRDefault="00A477B8">
      <w:r>
        <w:separator/>
      </w:r>
    </w:p>
  </w:endnote>
  <w:endnote w:type="continuationSeparator" w:id="0">
    <w:p w:rsidR="00A477B8" w:rsidRDefault="00A47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7B8" w:rsidRDefault="00A477B8">
      <w:r>
        <w:separator/>
      </w:r>
    </w:p>
  </w:footnote>
  <w:footnote w:type="continuationSeparator" w:id="0">
    <w:p w:rsidR="00A477B8" w:rsidRDefault="00A477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205" w:rsidRDefault="00CF5631">
    <w:pPr>
      <w:pStyle w:val="ab"/>
      <w:jc w:val="center"/>
      <w:rPr>
        <w:sz w:val="20"/>
      </w:rPr>
    </w:pPr>
    <w:r>
      <w:rPr>
        <w:sz w:val="20"/>
      </w:rPr>
      <w:fldChar w:fldCharType="begin"/>
    </w:r>
    <w:r>
      <w:rPr>
        <w:sz w:val="20"/>
      </w:rPr>
      <w:instrText>PAGE   \* MERGEFORMAT</w:instrText>
    </w:r>
    <w:r>
      <w:rPr>
        <w:sz w:val="20"/>
      </w:rPr>
      <w:fldChar w:fldCharType="separate"/>
    </w:r>
    <w:r w:rsidR="00C93CCA">
      <w:rPr>
        <w:noProof/>
        <w:sz w:val="20"/>
      </w:rPr>
      <w:t>3</w:t>
    </w:r>
    <w:r>
      <w:rPr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41E5D"/>
    <w:multiLevelType w:val="hybridMultilevel"/>
    <w:tmpl w:val="402C5F02"/>
    <w:lvl w:ilvl="0" w:tplc="67E06FA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52F48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9CECC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2E23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9CCEE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A1C8FE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EF485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CCC3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B0A41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BD012DE"/>
    <w:multiLevelType w:val="hybridMultilevel"/>
    <w:tmpl w:val="E63E8044"/>
    <w:lvl w:ilvl="0" w:tplc="1CF2C7EC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</w:lvl>
    <w:lvl w:ilvl="1" w:tplc="3B1631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734E4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25A930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330DE2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4DC575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700AE7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432408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546707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608930E8"/>
    <w:multiLevelType w:val="hybridMultilevel"/>
    <w:tmpl w:val="E176EA44"/>
    <w:lvl w:ilvl="0" w:tplc="B3B6F1D8">
      <w:start w:val="1"/>
      <w:numFmt w:val="decimal"/>
      <w:lvlText w:val="%1."/>
      <w:lvlJc w:val="left"/>
      <w:pPr>
        <w:ind w:left="1080" w:hanging="360"/>
      </w:pPr>
    </w:lvl>
    <w:lvl w:ilvl="1" w:tplc="83E09C70">
      <w:start w:val="1"/>
      <w:numFmt w:val="lowerLetter"/>
      <w:lvlText w:val="%2."/>
      <w:lvlJc w:val="left"/>
      <w:pPr>
        <w:ind w:left="1800" w:hanging="360"/>
      </w:pPr>
    </w:lvl>
    <w:lvl w:ilvl="2" w:tplc="02AAA4B6">
      <w:start w:val="1"/>
      <w:numFmt w:val="lowerRoman"/>
      <w:lvlText w:val="%3."/>
      <w:lvlJc w:val="right"/>
      <w:pPr>
        <w:ind w:left="2520" w:hanging="180"/>
      </w:pPr>
    </w:lvl>
    <w:lvl w:ilvl="3" w:tplc="56B0159E">
      <w:start w:val="1"/>
      <w:numFmt w:val="decimal"/>
      <w:lvlText w:val="%4."/>
      <w:lvlJc w:val="left"/>
      <w:pPr>
        <w:ind w:left="3240" w:hanging="360"/>
      </w:pPr>
    </w:lvl>
    <w:lvl w:ilvl="4" w:tplc="D752F0CE">
      <w:start w:val="1"/>
      <w:numFmt w:val="lowerLetter"/>
      <w:lvlText w:val="%5."/>
      <w:lvlJc w:val="left"/>
      <w:pPr>
        <w:ind w:left="3960" w:hanging="360"/>
      </w:pPr>
    </w:lvl>
    <w:lvl w:ilvl="5" w:tplc="D6FAEC00">
      <w:start w:val="1"/>
      <w:numFmt w:val="lowerRoman"/>
      <w:lvlText w:val="%6."/>
      <w:lvlJc w:val="right"/>
      <w:pPr>
        <w:ind w:left="4680" w:hanging="180"/>
      </w:pPr>
    </w:lvl>
    <w:lvl w:ilvl="6" w:tplc="72E67D02">
      <w:start w:val="1"/>
      <w:numFmt w:val="decimal"/>
      <w:lvlText w:val="%7."/>
      <w:lvlJc w:val="left"/>
      <w:pPr>
        <w:ind w:left="5400" w:hanging="360"/>
      </w:pPr>
    </w:lvl>
    <w:lvl w:ilvl="7" w:tplc="17E4F818">
      <w:start w:val="1"/>
      <w:numFmt w:val="lowerLetter"/>
      <w:lvlText w:val="%8."/>
      <w:lvlJc w:val="left"/>
      <w:pPr>
        <w:ind w:left="6120" w:hanging="360"/>
      </w:pPr>
    </w:lvl>
    <w:lvl w:ilvl="8" w:tplc="6EAAEC34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D5647F1"/>
    <w:multiLevelType w:val="hybridMultilevel"/>
    <w:tmpl w:val="47FCFD10"/>
    <w:lvl w:ilvl="0" w:tplc="EF96F0FC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</w:lvl>
    <w:lvl w:ilvl="1" w:tplc="82CEBF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3EBE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6243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064E2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F0856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BA96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3E5A3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1250B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5923012"/>
    <w:multiLevelType w:val="hybridMultilevel"/>
    <w:tmpl w:val="BF7E001E"/>
    <w:lvl w:ilvl="0" w:tplc="B5F4CA32">
      <w:start w:val="1"/>
      <w:numFmt w:val="decimal"/>
      <w:lvlText w:val="%1)"/>
      <w:lvlJc w:val="left"/>
      <w:pPr>
        <w:ind w:left="1778" w:hanging="360"/>
      </w:pPr>
    </w:lvl>
    <w:lvl w:ilvl="1" w:tplc="535EB47C">
      <w:start w:val="1"/>
      <w:numFmt w:val="lowerLetter"/>
      <w:lvlText w:val="%2."/>
      <w:lvlJc w:val="left"/>
      <w:pPr>
        <w:ind w:left="1789" w:hanging="360"/>
      </w:pPr>
    </w:lvl>
    <w:lvl w:ilvl="2" w:tplc="9978161C">
      <w:start w:val="1"/>
      <w:numFmt w:val="lowerRoman"/>
      <w:lvlText w:val="%3."/>
      <w:lvlJc w:val="right"/>
      <w:pPr>
        <w:ind w:left="2509" w:hanging="180"/>
      </w:pPr>
    </w:lvl>
    <w:lvl w:ilvl="3" w:tplc="A0462EE0">
      <w:start w:val="1"/>
      <w:numFmt w:val="decimal"/>
      <w:lvlText w:val="%4."/>
      <w:lvlJc w:val="left"/>
      <w:pPr>
        <w:ind w:left="3229" w:hanging="360"/>
      </w:pPr>
    </w:lvl>
    <w:lvl w:ilvl="4" w:tplc="A546DE78">
      <w:start w:val="1"/>
      <w:numFmt w:val="lowerLetter"/>
      <w:lvlText w:val="%5."/>
      <w:lvlJc w:val="left"/>
      <w:pPr>
        <w:ind w:left="3949" w:hanging="360"/>
      </w:pPr>
    </w:lvl>
    <w:lvl w:ilvl="5" w:tplc="519E9E46">
      <w:start w:val="1"/>
      <w:numFmt w:val="lowerRoman"/>
      <w:lvlText w:val="%6."/>
      <w:lvlJc w:val="right"/>
      <w:pPr>
        <w:ind w:left="4669" w:hanging="180"/>
      </w:pPr>
    </w:lvl>
    <w:lvl w:ilvl="6" w:tplc="77F0B19A">
      <w:start w:val="1"/>
      <w:numFmt w:val="decimal"/>
      <w:lvlText w:val="%7."/>
      <w:lvlJc w:val="left"/>
      <w:pPr>
        <w:ind w:left="5389" w:hanging="360"/>
      </w:pPr>
    </w:lvl>
    <w:lvl w:ilvl="7" w:tplc="034E455A">
      <w:start w:val="1"/>
      <w:numFmt w:val="lowerLetter"/>
      <w:lvlText w:val="%8."/>
      <w:lvlJc w:val="left"/>
      <w:pPr>
        <w:ind w:left="6109" w:hanging="360"/>
      </w:pPr>
    </w:lvl>
    <w:lvl w:ilvl="8" w:tplc="10BE999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205"/>
    <w:rsid w:val="000052C2"/>
    <w:rsid w:val="000667DA"/>
    <w:rsid w:val="00095372"/>
    <w:rsid w:val="000E70C3"/>
    <w:rsid w:val="001055CE"/>
    <w:rsid w:val="00116B14"/>
    <w:rsid w:val="00181185"/>
    <w:rsid w:val="001908D3"/>
    <w:rsid w:val="0019163D"/>
    <w:rsid w:val="001938DF"/>
    <w:rsid w:val="001D1FFD"/>
    <w:rsid w:val="001E20DD"/>
    <w:rsid w:val="0022263D"/>
    <w:rsid w:val="00257278"/>
    <w:rsid w:val="002705FE"/>
    <w:rsid w:val="0027331F"/>
    <w:rsid w:val="002840A1"/>
    <w:rsid w:val="00285046"/>
    <w:rsid w:val="002B1353"/>
    <w:rsid w:val="00306DE1"/>
    <w:rsid w:val="003115C2"/>
    <w:rsid w:val="0031204A"/>
    <w:rsid w:val="00366251"/>
    <w:rsid w:val="003B6507"/>
    <w:rsid w:val="003C1D61"/>
    <w:rsid w:val="003D4F65"/>
    <w:rsid w:val="003F759C"/>
    <w:rsid w:val="004107AC"/>
    <w:rsid w:val="00421BF9"/>
    <w:rsid w:val="00446818"/>
    <w:rsid w:val="00484C7C"/>
    <w:rsid w:val="00512205"/>
    <w:rsid w:val="00537355"/>
    <w:rsid w:val="0054774D"/>
    <w:rsid w:val="005677B2"/>
    <w:rsid w:val="0058008D"/>
    <w:rsid w:val="005904B6"/>
    <w:rsid w:val="005A2243"/>
    <w:rsid w:val="005C0844"/>
    <w:rsid w:val="0063176C"/>
    <w:rsid w:val="00637E6F"/>
    <w:rsid w:val="0066629A"/>
    <w:rsid w:val="00685EF1"/>
    <w:rsid w:val="006B0854"/>
    <w:rsid w:val="006C1E0D"/>
    <w:rsid w:val="006D7680"/>
    <w:rsid w:val="00726FE9"/>
    <w:rsid w:val="00735FDF"/>
    <w:rsid w:val="007417D0"/>
    <w:rsid w:val="00771B10"/>
    <w:rsid w:val="00795C31"/>
    <w:rsid w:val="00797812"/>
    <w:rsid w:val="007C1878"/>
    <w:rsid w:val="007E1C25"/>
    <w:rsid w:val="007F3A0A"/>
    <w:rsid w:val="00835B80"/>
    <w:rsid w:val="00881B97"/>
    <w:rsid w:val="00890DA7"/>
    <w:rsid w:val="008910B9"/>
    <w:rsid w:val="00897D90"/>
    <w:rsid w:val="008A776D"/>
    <w:rsid w:val="008C0588"/>
    <w:rsid w:val="008C3DDA"/>
    <w:rsid w:val="00921EAF"/>
    <w:rsid w:val="00934AD6"/>
    <w:rsid w:val="00934D5F"/>
    <w:rsid w:val="00935BB6"/>
    <w:rsid w:val="009812B2"/>
    <w:rsid w:val="009A4BF7"/>
    <w:rsid w:val="009B2381"/>
    <w:rsid w:val="00A145F9"/>
    <w:rsid w:val="00A44C8D"/>
    <w:rsid w:val="00A477B8"/>
    <w:rsid w:val="00A6233D"/>
    <w:rsid w:val="00A6400B"/>
    <w:rsid w:val="00AA73A6"/>
    <w:rsid w:val="00AC3D5C"/>
    <w:rsid w:val="00AC7FD0"/>
    <w:rsid w:val="00B16B78"/>
    <w:rsid w:val="00B27DBB"/>
    <w:rsid w:val="00B3016F"/>
    <w:rsid w:val="00B37FFD"/>
    <w:rsid w:val="00B60ACA"/>
    <w:rsid w:val="00B647FE"/>
    <w:rsid w:val="00B80B98"/>
    <w:rsid w:val="00B907D7"/>
    <w:rsid w:val="00B9799E"/>
    <w:rsid w:val="00BC21C0"/>
    <w:rsid w:val="00C20BE8"/>
    <w:rsid w:val="00C4226B"/>
    <w:rsid w:val="00C521FF"/>
    <w:rsid w:val="00C6222B"/>
    <w:rsid w:val="00C93CCA"/>
    <w:rsid w:val="00CA51C1"/>
    <w:rsid w:val="00CF5631"/>
    <w:rsid w:val="00DB0E19"/>
    <w:rsid w:val="00DC66E5"/>
    <w:rsid w:val="00DD4417"/>
    <w:rsid w:val="00DF1E47"/>
    <w:rsid w:val="00E150C2"/>
    <w:rsid w:val="00E41E0E"/>
    <w:rsid w:val="00E428E6"/>
    <w:rsid w:val="00E45798"/>
    <w:rsid w:val="00E535E0"/>
    <w:rsid w:val="00E56482"/>
    <w:rsid w:val="00E67B74"/>
    <w:rsid w:val="00E76B54"/>
    <w:rsid w:val="00E84743"/>
    <w:rsid w:val="00ED1806"/>
    <w:rsid w:val="00F12BAC"/>
    <w:rsid w:val="00F17EF2"/>
    <w:rsid w:val="00F2215B"/>
    <w:rsid w:val="00F24EC3"/>
    <w:rsid w:val="00F55DD4"/>
    <w:rsid w:val="00F76374"/>
    <w:rsid w:val="00FA6077"/>
    <w:rsid w:val="00FA6C97"/>
    <w:rsid w:val="00FB1F5C"/>
    <w:rsid w:val="00FC1F46"/>
    <w:rsid w:val="00FD549F"/>
    <w:rsid w:val="00FD73F5"/>
    <w:rsid w:val="00FE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186D18-B3E3-4B44-80CB-CDF463D1C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jc w:val="center"/>
    </w:pPr>
  </w:style>
  <w:style w:type="paragraph" w:customStyle="1" w:styleId="13">
    <w:name w:val="Название1"/>
    <w:basedOn w:val="a"/>
    <w:qFormat/>
    <w:pPr>
      <w:jc w:val="center"/>
    </w:pPr>
    <w:rPr>
      <w:b/>
    </w:rPr>
  </w:style>
  <w:style w:type="character" w:customStyle="1" w:styleId="ac">
    <w:name w:val="Верхний колонтитул Знак"/>
    <w:link w:val="ab"/>
    <w:uiPriority w:val="99"/>
    <w:rPr>
      <w:sz w:val="28"/>
    </w:rPr>
  </w:style>
  <w:style w:type="paragraph" w:styleId="afb">
    <w:name w:val="Balloon Text"/>
    <w:basedOn w:val="a"/>
    <w:link w:val="afc"/>
    <w:uiPriority w:val="99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rPr>
      <w:rFonts w:ascii="Tahoma" w:hAnsi="Tahoma" w:cs="Tahoma"/>
      <w:sz w:val="16"/>
      <w:szCs w:val="16"/>
    </w:rPr>
  </w:style>
  <w:style w:type="character" w:customStyle="1" w:styleId="ae">
    <w:name w:val="Нижний колонтитул Знак"/>
    <w:link w:val="ad"/>
    <w:rPr>
      <w:sz w:val="28"/>
    </w:rPr>
  </w:style>
  <w:style w:type="character" w:styleId="afd">
    <w:name w:val="Emphasis"/>
    <w:uiPriority w:val="20"/>
    <w:qFormat/>
    <w:rPr>
      <w:i/>
      <w:iCs/>
    </w:rPr>
  </w:style>
  <w:style w:type="paragraph" w:customStyle="1" w:styleId="Default">
    <w:name w:val="Default"/>
    <w:rPr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9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980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6555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Царева Ольга Александровна</cp:lastModifiedBy>
  <cp:revision>5</cp:revision>
  <cp:lastPrinted>2024-11-02T05:18:00Z</cp:lastPrinted>
  <dcterms:created xsi:type="dcterms:W3CDTF">2025-11-20T07:02:00Z</dcterms:created>
  <dcterms:modified xsi:type="dcterms:W3CDTF">2025-11-22T10:01:00Z</dcterms:modified>
  <cp:version>983040</cp:version>
</cp:coreProperties>
</file>