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етодика расчета иных межбюджетных трансфертов из областного бюджета Новосибирской области местным бюджетам</w:t>
      </w:r>
      <w:r>
        <w:rPr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оплату расходов местных бюджетов, связанных со строительством специализированного жилищного фонда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ной межбюджетный трансферт предоставляется на оплату расходов муниципальных образований, связанных со строительством специализированного жилищного фонда для предоставления отдельным категориям граждан, подлежащим обеспечению служебным жильем в рамках насто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ящей государственной программы, и гражданам, указанным в статье 8 Федерального закона от 21.12.1996 № 159-ФЗ «О дополнительных гарантиях по социальной поддержке детей - сирот и детей, оставшихся без попечения родителей».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Иной межбюджетный трансферт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 предоставляется на следующие виды расходов: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1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) разработка проектной документации, корректировка проектной документации, государственная экспертиза проектной документации, включая государственную экспертизу проверки достоверности определения сметной стоимости строительства, инженерно-геодезические, ин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женерно-геологические, инженерно-экологические, инженерно-гидрометеорологические изыскания;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2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) авторский надзор, технологическое присоединение к инженерным сетям, строительный контроль, затраты на ввод объекта в эксплуатацию (технический план бюро технической инвентаризации, замеры санитарно-эпидемиологической службы), благоустройство по контракта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м, заключенным в 2023 году.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Размер ассигнований областного бюджета определяется как 10% от объема ассигнований, предусмотренных муниципальному образованию на строительство специализированного жилищного фонда в следующем году.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о заключенным в 2023 году муниципальным контрактам на оплату расходов за авторский надзор, технологическое присоединение к инженерным сетям, строительный контроль, затраты на ввод объекта в эксплуатацию (технический план бюро технической инвентаризации, за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меры санитарно-эпидемиологической службы), благоустройство, на оплату кредиторской задолженности дополнительно предусматриваются бюджетные ассигнования.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редства Иного межбюджетного трансферта могут предоставляться на компенсацию расходов местных бюджетов, связанных со строительством специализированного жилищного фонда, на основании подтвержденных расходов местного бюджета на основании муниципальных контрак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тов (договоров) на работы (услуги). Компенсируются расходы, произведенные в текущем финансовом году и в году, предшествующем году финансирования, если данные расходы связаны со строительством объекта, планируемого в текущем или следующем году.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Условия расходования Иного межбюджетного трансферта: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spacing w:after="0" w:afterAutospacing="0" w:line="240" w:lineRule="auto"/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1) расходование Иного межбюджетного трансферта осуществляется на финансирование работ (услуг), связанных со строительством специализированного жилищного фонда;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/>
    </w:p>
    <w:p>
      <w:pPr>
        <w:ind w:firstLine="709"/>
        <w:jc w:val="both"/>
        <w:spacing w:after="0" w:afterAutospacing="0" w:line="240" w:lineRule="auto"/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2) финансирование производится на основании заключенных муниципальным образованием муниципальных контрактов (договоров) на работы (услуги);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/>
    </w:p>
    <w:p>
      <w:pPr>
        <w:ind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  <w:t xml:space="preserve">3) по муниципальным контрактам на экспертизу проектно-сметной документации возможна оплата аванса в размере, установленном договором (контрактом).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14:ligatures w14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Style w:val="686"/>
        <w:tblW w:w="0" w:type="auto"/>
        <w:tblLayout w:type="fixed"/>
        <w:tblLook w:val="04A0" w:firstRow="1" w:lastRow="0" w:firstColumn="1" w:lastColumn="0" w:noHBand="0" w:noVBand="1"/>
      </w:tblPr>
      <w:tblGrid>
        <w:gridCol w:w="4677"/>
        <w:gridCol w:w="524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7" w:type="dxa"/>
            <w:textDirection w:val="lrTb"/>
            <w:noWrap w:val="false"/>
          </w:tcPr>
          <w:p>
            <w:pPr>
              <w:jc w:val="left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Министр строительства 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Д.Н. Богомолов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mks</cp:lastModifiedBy>
  <cp:revision>8</cp:revision>
  <dcterms:modified xsi:type="dcterms:W3CDTF">2025-10-15T09:59:23Z</dcterms:modified>
</cp:coreProperties>
</file>