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afterAutospacing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етодика расчета субсидий из областного бюджета Новосибирской области местным бюджетам на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 исполнение обязательств застройщика по вводу многоквартирного дома в эксплуатацию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ind w:left="0" w:right="0" w:firstLine="540"/>
        <w:jc w:val="both"/>
        <w:spacing w:before="0" w:after="0" w:line="288" w:lineRule="atLeast"/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</w:p>
    <w:p>
      <w:pPr>
        <w:ind w:left="0" w:right="0" w:firstLine="0"/>
        <w:jc w:val="center"/>
        <w:spacing w:before="0" w:after="0" w:line="288" w:lineRule="atLeast"/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</w:p>
    <w:p>
      <w:pPr>
        <w:ind w:left="0" w:right="0" w:firstLine="709"/>
        <w:jc w:val="both"/>
        <w:spacing w:before="0" w:after="0" w:line="288" w:lineRule="atLeast"/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Субсидии предоставляются муниципальным образованиям в целях софинансирования: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</w:p>
    <w:p>
      <w:pPr>
        <w:ind w:left="0" w:right="0" w:firstLine="709"/>
        <w:jc w:val="both"/>
        <w:spacing w:before="0" w:after="0" w:line="288" w:lineRule="atLeast"/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—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расходных обязательств муниципальных образований, связанных с реализацией муниципальных правовых актов, предусматривающих предоставление средств из местных бюджетов юридическим лицам для покрытия части расходов на оплату по договорам технологического присое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динения, на установку лифтового оборудования, а также на проведение работ по благоустройству придомовой территории;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</w:p>
    <w:p>
      <w:pPr>
        <w:ind w:left="0" w:right="0" w:firstLine="709"/>
        <w:jc w:val="both"/>
        <w:spacing w:before="0" w:after="0" w:line="288" w:lineRule="atLeast"/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— 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расходных обязательств муниципальных образований, связанных с реализацией муниципальных правовых актов, предусматривающих предоставление средств из местных бюджетов юридическим лицам для покрытия части расходов на погашение дебиторской задолженности указанн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ых юридических лиц по договорам технологического присоединения, на установку лифтового оборудования, а также на проведение работ по благоустройству придомовой территории, в отношении введенных в эксплуатацию объектов жилищного строительства.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</w:p>
    <w:p>
      <w:pPr>
        <w:ind w:left="0" w:right="0" w:firstLine="709"/>
        <w:jc w:val="both"/>
        <w:spacing w:before="0" w:after="0" w:line="288" w:lineRule="atLeast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Субсидии предоставляются на основании отбора, проведенного муниципальными образованиями.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left="0" w:right="0" w:firstLine="709"/>
        <w:jc w:val="both"/>
        <w:spacing w:before="0" w:after="0" w:line="288" w:lineRule="atLeast"/>
        <w:rPr>
          <w:rFonts w:ascii="Times New Roman" w:hAnsi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Критерием отбора для предоставления субсидии является наличие многоквартирных жилых домов, расположенных на территории муниципального образования, строительство которых осуществляется силами созданных в рамках процедуры банкротства застройщика жилищно - строи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тельными кооперативами, включенных в план-график («дорожная карта») по осуществлению мер по восстановлению прав граждан, чьи денежные средства привлечены для строительства многоквартирных домов и (или) иных объектов недвижимости, расположенных на территории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Новосибирской области, включенных в единый реестр проблемных объектов, предусмотренных частью 1.1 статьи 23.1 Федерального закона от 30.12.2004 № 214-ФЗ «Об участии в долевом строительстве многоквартирных домов и иных объектов недвижимости и о внесении изм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енений в некоторые законодательные акты Российской Федерации», утвержденный Губернатором Новосибирской области, в соответствии с распоряжением Правительства Российской Федерации от 26.05.2017 № 1063-р (далее - план-график).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cs="Times New Roman"/>
          <w:color w:val="000000"/>
          <w:sz w:val="28"/>
          <w:szCs w:val="28"/>
        </w:rPr>
      </w:r>
    </w:p>
    <w:p>
      <w:pPr>
        <w:ind w:left="0" w:right="0" w:firstLine="709"/>
        <w:jc w:val="both"/>
        <w:spacing w:before="0" w:after="0" w:line="288" w:lineRule="atLeast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Распределение субсидий между муниципальными образованиями с учетом предельных уровней софинансирования, включая критерии отбора муниципальных образований для предоставления субсидий, осуществляется на основании информации, представленной органами местного 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амоуправления муниципальных образований, о предварительной потребности в денежных средствах, необходимых для предоставления субсидий жилищно - строительным кооперативам, осуществляющим завершение строительства многоквартирных жилых домов, включенных в план-гр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афик.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left="0" w:right="0" w:firstLine="709"/>
        <w:jc w:val="both"/>
        <w:spacing w:before="0" w:after="0" w:line="288" w:lineRule="atLeast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Уровень софинансирования расходных обязательств муниципальных образований, в целях софинансирования которых предоставляется субсидия, применяется в соответствии с распоряжением Правительства Новосибирской области об установлении предельных уровней софинанси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рования на очередной финансовый год и плановый период, для соответствующего муниципального образования.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left="0" w:right="0" w:firstLine="709"/>
        <w:jc w:val="both"/>
        <w:spacing w:before="0" w:after="0" w:line="288" w:lineRule="atLeast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Условием расходования субсидий является предоставление субсидий юридическим лицам для покрытия части расходов на оплату по договорам технологического присоединения к сетям электро-, тепло-, водоснабжения и водоотведения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, на установку лифтового оборудования и выполнение работ по благоустройству придомовой территории в целях решения вопросов завершения строительства и ввода в эксплуатацию объектов жилищного строительства, по которым застройщиком по истечении шес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ти месяцев со дня, установленного договором об участии в строительстве многоквартирного дома, не исполнены обязательства по вводу многоквартирного дома в эксплуатацию и передаче гражданам жилых помещений.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left="0" w:right="0" w:firstLine="540"/>
        <w:jc w:val="both"/>
        <w:spacing w:before="0" w:after="0" w:line="288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40"/>
        <w:jc w:val="both"/>
        <w:spacing w:before="0" w:after="0" w:line="288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540"/>
        <w:jc w:val="both"/>
        <w:spacing w:before="0" w:after="0" w:line="288" w:lineRule="atLeast"/>
        <w:rPr>
          <w:rFonts w:ascii="Times New Roman" w:hAnsi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686"/>
        <w:tblW w:w="0" w:type="auto"/>
        <w:tblLayout w:type="fixed"/>
        <w:tblLook w:val="04A0" w:firstRow="1" w:lastRow="0" w:firstColumn="1" w:lastColumn="0" w:noHBand="0" w:noVBand="1"/>
      </w:tblPr>
      <w:tblGrid>
        <w:gridCol w:w="4536"/>
        <w:gridCol w:w="5244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536" w:type="dxa"/>
            <w:textDirection w:val="lrTb"/>
            <w:noWrap w:val="false"/>
          </w:tcPr>
          <w:p>
            <w:pPr>
              <w:jc w:val="left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  <w:t xml:space="preserve">Министр строительства Новосибирской области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244" w:type="dxa"/>
            <w:textDirection w:val="lrTb"/>
            <w:noWrap w:val="false"/>
          </w:tcPr>
          <w:p>
            <w:pPr>
              <w:jc w:val="right"/>
              <w:spacing w:before="0" w:after="0" w:line="288" w:lineRule="atLeast"/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  <w:t xml:space="preserve">Д.Н. Богомолов</w:t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8"/>
                <w:szCs w:val="28"/>
                <w:highlight w:val="none"/>
              </w:rPr>
            </w:r>
          </w:p>
        </w:tc>
      </w:tr>
    </w:tbl>
    <w:p>
      <w:pPr>
        <w:ind w:left="0" w:right="0" w:firstLine="0"/>
        <w:jc w:val="both"/>
        <w:spacing w:before="0" w:after="0" w:line="288" w:lineRule="atLeast"/>
        <w:rPr>
          <w:rFonts w:ascii="Times New Roman" w:hAnsi="Times New Roman" w:eastAsia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  <w:highlight w:val="none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567" w:bottom="1134" w:left="1417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  <w:style w:type="paragraph" w:styleId="836" w:customStyle="1">
    <w:name w:val="ConsPlusTitle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Calibri" w:hAnsi="Calibri" w:cs="Calibri" w:eastAsiaTheme="minorEastAsia"/>
      <w:b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2"/>
      <w:szCs w:val="22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6</cp:revision>
  <dcterms:modified xsi:type="dcterms:W3CDTF">2025-09-24T02:32:06Z</dcterms:modified>
</cp:coreProperties>
</file>