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Круглого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стола по теме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развитии креативных (творческих) индустрий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Принимая во внимание,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вступил в силу Федеральный закон от 8 августа 2024 года № 330-ФЗ «О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развитии креативных (творческих) индустрий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определил основы правового регулирования организации и развития в Российской Федерации креативных (творческих) индустрий как базового секто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 креативной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участники круглого стола рекомендуют: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Новосибирской области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рассмотреть вопрос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законодательном урегулировании правоотношений в сфере креативных (творческих) индустрий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Cs/>
          <w:i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нодательному Собранию Новосибирской области при поступлении проекта закона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развитии креативных (творческих) индустрий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 рассмотреть его в первоочередном порядке.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sz w:val="30"/>
          <w:szCs w:val="30"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2026-02-13T04:10:41Z</dcterms:modified>
</cp:coreProperties>
</file>