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E0" w:rsidRDefault="004374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A64E0" w:rsidRDefault="0043743F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проект закона Новосибирской области № 12-8</w:t>
      </w:r>
    </w:p>
    <w:p w:rsidR="009A64E0" w:rsidRDefault="0043743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 внесении изменений в Закон 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«О разграничении полномочий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органов государственной власти Новосибирской области в области обращения с отходами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производства и потребления»</w:t>
      </w:r>
      <w:r w:rsidR="008720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</w:p>
    <w:p w:rsidR="009A64E0" w:rsidRDefault="009A64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закона Новосибирской области № 12-8 «О внесении изменений в Закон Новосибирской области «О разграничении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органов государственной власти Новосибирской области в области обращения с отходами производства и потребления» </w:t>
      </w:r>
      <w:r>
        <w:rPr>
          <w:rFonts w:ascii="Times New Roman" w:hAnsi="Times New Roman" w:cs="Times New Roman"/>
          <w:sz w:val="28"/>
          <w:szCs w:val="28"/>
        </w:rPr>
        <w:t>(далее - законопроект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внесен в Законодательное Собрание Новосибирской области субъектом права законодательной инициативы – </w:t>
      </w:r>
      <w:r>
        <w:rPr>
          <w:rFonts w:ascii="Times New Roman" w:hAnsi="Times New Roman" w:cs="Times New Roman"/>
          <w:sz w:val="28"/>
          <w:szCs w:val="28"/>
        </w:rPr>
        <w:t>Губернатором Новосибирской области в соответствии с частями 1, 3 статьи 38 Устава Новосибирской области, требованиями статей 9, 10 Закона Новосибирской о</w:t>
      </w:r>
      <w:r>
        <w:rPr>
          <w:rFonts w:ascii="Times New Roman" w:hAnsi="Times New Roman" w:cs="Times New Roman"/>
          <w:sz w:val="28"/>
          <w:szCs w:val="28"/>
        </w:rPr>
        <w:t>бласти «О нормативных правовых актах Новосибирской области».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Уставу Новосибирской области.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логика законопроекта не нарушена, противоречия между статьями и структурными элементами ста</w:t>
      </w:r>
      <w:r>
        <w:rPr>
          <w:rFonts w:ascii="Times New Roman" w:hAnsi="Times New Roman" w:cs="Times New Roman"/>
          <w:sz w:val="28"/>
          <w:szCs w:val="28"/>
        </w:rPr>
        <w:t>тьи 1 законопроекта отсутствуют.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Законопроектом предусмотрены меры государственной поддержки регионального оператора в форме субсидии за счет средств областного бюджета Новосибирской области. 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статьями 1 и 24.6 Федерального закона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4.06.1998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  <w:t>№ 89-ФЗ «Об отходах производства и потребления»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89-ФЗ):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егиональный оператор по обращению с твердыми коммунальными отходами (далее также - региональный оператор) - оператор по обращению с твердыми коммунальными отходами - юридическое лицо, которое обязано заключить договор на оказание услуг по обращению с тверд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коммунальными отходами с собственником твердых коммунальных отходов, которые образуются и места накопления которых находятся в зоне деятельности регионального оператора;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сбор, транспортирование, обработка, утилизация, обезвреживание, захоронение твер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отходами;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ческому лицу присваивается статус регионального оператора и определяется зона его деятельности на основании конкурсного отбора, который проводится уполномоченным исполнительным органом субъекта Российской Федерации в порядке, установленном Правительством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Федерации.</w:t>
      </w:r>
    </w:p>
    <w:p w:rsidR="009A64E0" w:rsidRDefault="0043743F">
      <w:pPr>
        <w:spacing w:after="0" w:line="240" w:lineRule="auto"/>
        <w:ind w:left="-567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жилищно-коммунального хозяйства и энергетики Новосибирской области от 12.01.2024 № 2-НПА присвоен статус регионального оператора по обращению с твердыми коммунальными отходами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Новосибирской области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униципальному унитарному предприятию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г. Новосибирска «СПЕЦАВТОХОЗЯЙСТВО».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Новосибирской области от 26.09.2016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292-п утверждена территориальная схема обращения с отходами производства и потребления, в том числе с твердыми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ммунальными отходами, Новосибирской области, согласно которой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функциями регионального оператора наделено одно юридическое лицо – МУП «САХ» (реорганизовано в форме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преобразования в акционерное общество «Спецавтохозяйство»).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Проектируемой статьей 5.1 Закона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от 01.07.2015 </w:t>
      </w:r>
      <w:r>
        <w:rPr>
          <w:rFonts w:ascii="Times New Roman" w:hAnsi="Times New Roman" w:cs="Times New Roman"/>
          <w:sz w:val="28"/>
          <w:szCs w:val="28"/>
        </w:rPr>
        <w:br/>
        <w:t xml:space="preserve">№ 582-ОЗ «О разграничении полномочий органов государственной власти Новосибирской области в области обращения с отходами производства и потребления» предусматриваются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меры государственной поддержки региональному операт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ору по экономически обоснованным расходам регионального оператора, не учтенным при установлении (корректировке) предельных тарифов в области обращения с твердыми коммунальными отходами.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Согласно статье 19 Федерального зак</w:t>
      </w:r>
      <w:r>
        <w:rPr>
          <w:rFonts w:ascii="Times New Roman" w:eastAsia="Times New Roman" w:hAnsi="Times New Roman" w:cs="Times New Roman"/>
          <w:sz w:val="28"/>
          <w:szCs w:val="28"/>
        </w:rPr>
        <w:t>она от 26.07.2006 № 135-ФЗ «О защит</w:t>
      </w:r>
      <w:r>
        <w:rPr>
          <w:rFonts w:ascii="Times New Roman" w:eastAsia="Times New Roman" w:hAnsi="Times New Roman" w:cs="Times New Roman"/>
          <w:sz w:val="28"/>
          <w:szCs w:val="28"/>
        </w:rPr>
        <w:t>е конкуренции» (далее – Федеральный закон № 135-ФЗ) государственные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преференции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это предоставление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органами государственной власти субъектов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отдельным хозяйствующим субъектам преимущества, </w:t>
      </w:r>
      <w:r>
        <w:rPr>
          <w:rFonts w:ascii="Times New Roman" w:hAnsi="Times New Roman" w:cs="Times New Roman"/>
          <w:sz w:val="28"/>
          <w:szCs w:val="28"/>
        </w:rPr>
        <w:t>которое обеспечивает им более выгодные услов</w:t>
      </w:r>
      <w:r>
        <w:rPr>
          <w:rFonts w:ascii="Times New Roman" w:hAnsi="Times New Roman" w:cs="Times New Roman"/>
          <w:sz w:val="28"/>
          <w:szCs w:val="28"/>
        </w:rPr>
        <w:t>ия деятельности, путем передачи государственного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имущества, иных объектов гражданских прав либо путем предоставления имущественных льгот, государственных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гарантий.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принятие статьи 5.1 </w:t>
      </w:r>
      <w:r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от 01.07.2015 № 582-ОЗ «О разграничении полномочий органов государственной власти Новосибирской области в области обращения с отходами производства и потребления»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редакции, предусмотренной законопроектом, повлечет предоставле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ние </w:t>
      </w:r>
      <w:r>
        <w:rPr>
          <w:rFonts w:ascii="Times New Roman" w:eastAsia="Times New Roman" w:hAnsi="Times New Roman" w:cs="Times New Roman"/>
          <w:sz w:val="28"/>
          <w:szCs w:val="28"/>
        </w:rPr>
        <w:t>государственных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преференций региональному оператору, что свидетельствует о возможных коррупционных проявлениях.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частям 1 и 3 статьи 19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№ 135-ФЗ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государственные преференции предоставляются исключительно в целях, указанных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этой статье, и в целях, определяемых другими федеральными законами, нормативными правовыми актами Президента Российской Федерации и нормативными правовыми актами Правительства Российской Федерации, и предоставляются с предварительного согласия в письменной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форме антимонопольного органа.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субсидий для отдельных видов юридических лиц регулируется нормами Бюджетного кодекса Российской Федерации (далее – БК РФ).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положениями статьи 78 БК РФ субсидии юридическим лицам (за исключе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нием субсидий государственным (муниципальным) учреждениям)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выполнением работ, оказанием услуг в порядке, установленном нормативными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правовыми актами высшего исполнительного органа субъекта Российской Федерации,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определять, в том числе категории и (или) критерии отбора юридических лиц - производителе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товаров, работ, услуг, имеющих право на получение субсидий. </w:t>
      </w:r>
    </w:p>
    <w:p w:rsidR="009A64E0" w:rsidRDefault="0043743F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Финансово-экономическое обоснование к законопроекту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не содержит </w:t>
      </w:r>
      <w:r>
        <w:rPr>
          <w:rFonts w:ascii="Times New Roman" w:eastAsia="Times New Roman" w:hAnsi="Times New Roman" w:cs="Times New Roman"/>
          <w:sz w:val="28"/>
          <w:szCs w:val="28"/>
        </w:rPr>
        <w:t>расчетов затрат областного бюджета Новосибирской области на оказание мер государственной поддержки в области обращения с твердыми коммунальными отходами, предусмотренных законопроектом.</w:t>
      </w:r>
    </w:p>
    <w:p w:rsidR="009A64E0" w:rsidRDefault="009A64E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4E0" w:rsidRDefault="009A64E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64E0" w:rsidRDefault="009A64E0">
      <w:pPr>
        <w:spacing w:after="0" w:line="240" w:lineRule="auto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9A64E0" w:rsidRDefault="0043743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9A64E0" w:rsidRDefault="0043743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правовым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Т.А. Варда</w:t>
      </w:r>
    </w:p>
    <w:p w:rsidR="009A64E0" w:rsidRDefault="009A64E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A64E0" w:rsidRDefault="009A64E0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9A64E0" w:rsidRDefault="0043743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Начальник департамента</w:t>
      </w:r>
    </w:p>
    <w:p w:rsidR="009A64E0" w:rsidRDefault="0043743F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социально-экономическим вопросам                                                 В.И. Бакулина</w:t>
      </w: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</w:pPr>
    </w:p>
    <w:p w:rsidR="009A64E0" w:rsidRDefault="009A64E0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64E0" w:rsidRDefault="0043743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Маркитанова Елена Сергеевна</w:t>
      </w:r>
    </w:p>
    <w:p w:rsidR="009A64E0" w:rsidRDefault="0043743F">
      <w:pPr>
        <w:spacing w:after="0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296-54-58</w:t>
      </w:r>
    </w:p>
    <w:p w:rsidR="009A64E0" w:rsidRDefault="0043743F">
      <w:pPr>
        <w:spacing w:after="0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Борисова  Евгения Борисовна</w:t>
      </w:r>
    </w:p>
    <w:p w:rsidR="009A64E0" w:rsidRDefault="0043743F">
      <w:pPr>
        <w:tabs>
          <w:tab w:val="left" w:pos="1134"/>
        </w:tabs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296-54-68</w:t>
      </w:r>
    </w:p>
    <w:sectPr w:rsidR="009A64E0">
      <w:head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43F" w:rsidRDefault="0043743F">
      <w:pPr>
        <w:spacing w:after="0" w:line="240" w:lineRule="auto"/>
      </w:pPr>
      <w:r>
        <w:separator/>
      </w:r>
    </w:p>
  </w:endnote>
  <w:endnote w:type="continuationSeparator" w:id="0">
    <w:p w:rsidR="0043743F" w:rsidRDefault="00437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E0" w:rsidRDefault="009A64E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43F" w:rsidRDefault="0043743F">
      <w:pPr>
        <w:spacing w:after="0" w:line="240" w:lineRule="auto"/>
      </w:pPr>
      <w:r>
        <w:separator/>
      </w:r>
    </w:p>
  </w:footnote>
  <w:footnote w:type="continuationSeparator" w:id="0">
    <w:p w:rsidR="0043743F" w:rsidRDefault="00437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E0" w:rsidRDefault="0043743F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 w:rsidR="0087203E">
      <w:rPr>
        <w:noProof/>
      </w:rPr>
      <w:t>2</w:t>
    </w:r>
    <w:r>
      <w:fldChar w:fldCharType="end"/>
    </w:r>
  </w:p>
  <w:p w:rsidR="009A64E0" w:rsidRDefault="009A64E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E0" w:rsidRDefault="009A64E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D1ABF"/>
    <w:multiLevelType w:val="hybridMultilevel"/>
    <w:tmpl w:val="90C43B26"/>
    <w:lvl w:ilvl="0" w:tplc="800A91DC">
      <w:start w:val="1"/>
      <w:numFmt w:val="decimal"/>
      <w:lvlText w:val="%1."/>
      <w:lvlJc w:val="left"/>
      <w:pPr>
        <w:ind w:left="709" w:hanging="360"/>
      </w:pPr>
      <w:rPr>
        <w:b w:val="0"/>
      </w:rPr>
    </w:lvl>
    <w:lvl w:ilvl="1" w:tplc="51F0C0B8">
      <w:start w:val="1"/>
      <w:numFmt w:val="lowerLetter"/>
      <w:lvlText w:val="%2."/>
      <w:lvlJc w:val="left"/>
      <w:pPr>
        <w:ind w:left="1429" w:hanging="360"/>
      </w:pPr>
    </w:lvl>
    <w:lvl w:ilvl="2" w:tplc="FBE87E36">
      <w:start w:val="1"/>
      <w:numFmt w:val="lowerRoman"/>
      <w:lvlText w:val="%3."/>
      <w:lvlJc w:val="right"/>
      <w:pPr>
        <w:ind w:left="2149" w:hanging="180"/>
      </w:pPr>
    </w:lvl>
    <w:lvl w:ilvl="3" w:tplc="3E908D2E">
      <w:start w:val="1"/>
      <w:numFmt w:val="decimal"/>
      <w:lvlText w:val="%4."/>
      <w:lvlJc w:val="left"/>
      <w:pPr>
        <w:ind w:left="2869" w:hanging="360"/>
      </w:pPr>
    </w:lvl>
    <w:lvl w:ilvl="4" w:tplc="BE404A66">
      <w:start w:val="1"/>
      <w:numFmt w:val="lowerLetter"/>
      <w:lvlText w:val="%5."/>
      <w:lvlJc w:val="left"/>
      <w:pPr>
        <w:ind w:left="3589" w:hanging="360"/>
      </w:pPr>
    </w:lvl>
    <w:lvl w:ilvl="5" w:tplc="BF18B102">
      <w:start w:val="1"/>
      <w:numFmt w:val="lowerRoman"/>
      <w:lvlText w:val="%6."/>
      <w:lvlJc w:val="right"/>
      <w:pPr>
        <w:ind w:left="4309" w:hanging="180"/>
      </w:pPr>
    </w:lvl>
    <w:lvl w:ilvl="6" w:tplc="3A0079A2">
      <w:start w:val="1"/>
      <w:numFmt w:val="decimal"/>
      <w:lvlText w:val="%7."/>
      <w:lvlJc w:val="left"/>
      <w:pPr>
        <w:ind w:left="5029" w:hanging="360"/>
      </w:pPr>
    </w:lvl>
    <w:lvl w:ilvl="7" w:tplc="BC885690">
      <w:start w:val="1"/>
      <w:numFmt w:val="lowerLetter"/>
      <w:lvlText w:val="%8."/>
      <w:lvlJc w:val="left"/>
      <w:pPr>
        <w:ind w:left="5749" w:hanging="360"/>
      </w:pPr>
    </w:lvl>
    <w:lvl w:ilvl="8" w:tplc="626C4A84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4E0"/>
    <w:rsid w:val="0043743F"/>
    <w:rsid w:val="0087203E"/>
    <w:rsid w:val="009A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946</Words>
  <Characters>5396</Characters>
  <Application>Microsoft Office Word</Application>
  <DocSecurity>0</DocSecurity>
  <Lines>44</Lines>
  <Paragraphs>12</Paragraphs>
  <ScaleCrop>false</ScaleCrop>
  <Company/>
  <LinksUpToDate>false</LinksUpToDate>
  <CharactersWithSpaces>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Маркитанова Елена Сергеевна</dc:creator>
  <cp:keywords/>
  <dc:description/>
  <cp:lastModifiedBy>Кожевникова Оксана Сергеевна</cp:lastModifiedBy>
  <cp:revision>19</cp:revision>
  <dcterms:created xsi:type="dcterms:W3CDTF">2023-06-16T05:26:00Z</dcterms:created>
  <dcterms:modified xsi:type="dcterms:W3CDTF">2025-10-17T08:25:00Z</dcterms:modified>
</cp:coreProperties>
</file>