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B1" w:rsidRDefault="00CC73A7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24130</wp:posOffset>
            </wp:positionV>
            <wp:extent cx="582930" cy="657225"/>
            <wp:effectExtent l="0" t="0" r="0" b="0"/>
            <wp:wrapNone/>
            <wp:docPr id="1" name="_x0000_s1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r="-5516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67B1" w:rsidRDefault="004467B1">
      <w:pPr>
        <w:jc w:val="center"/>
        <w:rPr>
          <w:b/>
        </w:rPr>
      </w:pPr>
    </w:p>
    <w:p w:rsidR="004467B1" w:rsidRDefault="004467B1">
      <w:pPr>
        <w:jc w:val="center"/>
        <w:rPr>
          <w:b/>
          <w:sz w:val="32"/>
          <w:szCs w:val="32"/>
        </w:rPr>
      </w:pPr>
    </w:p>
    <w:p w:rsidR="004467B1" w:rsidRDefault="004467B1">
      <w:pPr>
        <w:jc w:val="center"/>
        <w:rPr>
          <w:sz w:val="32"/>
          <w:szCs w:val="32"/>
        </w:rPr>
      </w:pPr>
    </w:p>
    <w:p w:rsidR="004467B1" w:rsidRDefault="00CC73A7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4467B1" w:rsidRDefault="004467B1">
      <w:pPr>
        <w:jc w:val="center"/>
      </w:pPr>
    </w:p>
    <w:p w:rsidR="004467B1" w:rsidRDefault="00CC73A7">
      <w:pPr>
        <w:keepNext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 w:val="24"/>
          <w:szCs w:val="24"/>
        </w:rPr>
        <w:t xml:space="preserve">К О М И С </w:t>
      </w:r>
      <w:proofErr w:type="spellStart"/>
      <w:proofErr w:type="gramStart"/>
      <w:r>
        <w:rPr>
          <w:b/>
          <w:bCs w:val="0"/>
          <w:sz w:val="24"/>
          <w:szCs w:val="24"/>
        </w:rPr>
        <w:t>С</w:t>
      </w:r>
      <w:proofErr w:type="spellEnd"/>
      <w:proofErr w:type="gramEnd"/>
      <w:r>
        <w:rPr>
          <w:b/>
          <w:bCs w:val="0"/>
          <w:sz w:val="24"/>
          <w:szCs w:val="24"/>
        </w:rPr>
        <w:t xml:space="preserve"> И Я   П О   Э К О Л О Г И </w:t>
      </w:r>
      <w:proofErr w:type="spellStart"/>
      <w:r>
        <w:rPr>
          <w:b/>
          <w:bCs w:val="0"/>
          <w:sz w:val="24"/>
          <w:szCs w:val="24"/>
        </w:rPr>
        <w:t>И</w:t>
      </w:r>
      <w:proofErr w:type="spellEnd"/>
    </w:p>
    <w:p w:rsidR="004467B1" w:rsidRDefault="004467B1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4467B1">
        <w:tc>
          <w:tcPr>
            <w:tcW w:w="10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67B1" w:rsidRDefault="00CC73A7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4467B1" w:rsidRDefault="00CC73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296-54-33</w:t>
            </w:r>
          </w:p>
          <w:p w:rsidR="004467B1" w:rsidRDefault="00CC73A7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bCs w:val="0"/>
                  <w:color w:val="0000FF"/>
                  <w:sz w:val="24"/>
                  <w:szCs w:val="24"/>
                  <w:lang w:val="en-US"/>
                </w:rPr>
                <w:t>k_eko@zsnso.ru</w:t>
              </w:r>
            </w:hyperlink>
            <w:r>
              <w:rPr>
                <w:bCs w:val="0"/>
                <w:sz w:val="24"/>
                <w:szCs w:val="24"/>
                <w:lang w:val="en-US"/>
              </w:rPr>
              <w:t xml:space="preserve">, e-mail: </w:t>
            </w:r>
            <w:hyperlink r:id="rId9" w:history="1">
              <w:r>
                <w:rPr>
                  <w:bCs w:val="0"/>
                  <w:color w:val="0000FF"/>
                  <w:sz w:val="24"/>
                  <w:szCs w:val="24"/>
                  <w:lang w:val="en-US"/>
                </w:rPr>
                <w:t>ecology_nso@mail.ru</w:t>
              </w:r>
            </w:hyperlink>
          </w:p>
          <w:p w:rsidR="004467B1" w:rsidRDefault="00CC73A7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Cs w:val="20"/>
              </w:rPr>
            </w:pPr>
            <w:r>
              <w:rPr>
                <w:bCs w:val="0"/>
                <w:sz w:val="24"/>
                <w:szCs w:val="24"/>
                <w:lang w:val="en-US"/>
              </w:rPr>
              <w:t>http</w:t>
            </w:r>
            <w:r>
              <w:rPr>
                <w:bCs w:val="0"/>
                <w:sz w:val="24"/>
                <w:szCs w:val="24"/>
              </w:rPr>
              <w:t>://</w:t>
            </w:r>
            <w:r>
              <w:rPr>
                <w:bCs w:val="0"/>
                <w:sz w:val="24"/>
                <w:szCs w:val="24"/>
                <w:lang w:val="en-US"/>
              </w:rPr>
              <w:t>www</w:t>
            </w:r>
            <w:r>
              <w:rPr>
                <w:bCs w:val="0"/>
                <w:sz w:val="24"/>
                <w:szCs w:val="24"/>
              </w:rPr>
              <w:t>.</w:t>
            </w:r>
            <w:proofErr w:type="spellStart"/>
            <w:r>
              <w:rPr>
                <w:bCs w:val="0"/>
                <w:sz w:val="24"/>
                <w:szCs w:val="24"/>
                <w:lang w:val="en-US"/>
              </w:rPr>
              <w:t>zsnso</w:t>
            </w:r>
            <w:proofErr w:type="spellEnd"/>
            <w:r>
              <w:rPr>
                <w:bCs w:val="0"/>
                <w:sz w:val="24"/>
                <w:szCs w:val="24"/>
              </w:rPr>
              <w:t>.</w:t>
            </w:r>
            <w:proofErr w:type="spellStart"/>
            <w:r>
              <w:rPr>
                <w:bCs w:val="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467B1" w:rsidRDefault="00CC73A7">
      <w:pPr>
        <w:pStyle w:val="ad"/>
        <w:rPr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-40004</wp:posOffset>
                </wp:positionH>
                <wp:positionV relativeFrom="paragraph">
                  <wp:posOffset>213995</wp:posOffset>
                </wp:positionV>
                <wp:extent cx="6587490" cy="0"/>
                <wp:effectExtent l="0" t="0" r="0" b="0"/>
                <wp:wrapNone/>
                <wp:docPr id="2" name="_x0000_s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5BB28" id="_x0000_s1985" o:spid="_x0000_s1026" style="position:absolute;flip:y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6.85pt" to="515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" strokeweight="1.5pt"/>
            </w:pict>
          </mc:Fallback>
        </mc:AlternateConten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2999"/>
        <w:gridCol w:w="2582"/>
        <w:gridCol w:w="3012"/>
        <w:gridCol w:w="1863"/>
      </w:tblGrid>
      <w:tr w:rsidR="004467B1">
        <w:tc>
          <w:tcPr>
            <w:tcW w:w="2999" w:type="dxa"/>
            <w:tcBorders>
              <w:bottom w:val="single" w:sz="4" w:space="0" w:color="000000"/>
            </w:tcBorders>
          </w:tcPr>
          <w:p w:rsidR="004467B1" w:rsidRDefault="004467B1"/>
          <w:p w:rsidR="004467B1" w:rsidRDefault="00CC73A7">
            <w:r>
              <w:t>26 июня 2024 года</w:t>
            </w:r>
          </w:p>
        </w:tc>
        <w:tc>
          <w:tcPr>
            <w:tcW w:w="2582" w:type="dxa"/>
          </w:tcPr>
          <w:p w:rsidR="004467B1" w:rsidRDefault="004467B1"/>
        </w:tc>
        <w:tc>
          <w:tcPr>
            <w:tcW w:w="3012" w:type="dxa"/>
          </w:tcPr>
          <w:p w:rsidR="004467B1" w:rsidRDefault="004467B1">
            <w:pPr>
              <w:jc w:val="right"/>
            </w:pPr>
          </w:p>
        </w:tc>
        <w:tc>
          <w:tcPr>
            <w:tcW w:w="1863" w:type="dxa"/>
            <w:tcBorders>
              <w:bottom w:val="single" w:sz="4" w:space="0" w:color="000000"/>
            </w:tcBorders>
          </w:tcPr>
          <w:p w:rsidR="004467B1" w:rsidRDefault="004467B1">
            <w:pPr>
              <w:jc w:val="center"/>
            </w:pPr>
          </w:p>
          <w:p w:rsidR="004467B1" w:rsidRDefault="00CC73A7">
            <w:pPr>
              <w:jc w:val="center"/>
              <w:rPr>
                <w:highlight w:val="yellow"/>
              </w:rPr>
            </w:pPr>
            <w:r>
              <w:t>Малый зал</w:t>
            </w:r>
          </w:p>
        </w:tc>
      </w:tr>
    </w:tbl>
    <w:p w:rsidR="004467B1" w:rsidRDefault="004467B1">
      <w:pPr>
        <w:jc w:val="center"/>
        <w:rPr>
          <w:rFonts w:eastAsia="Calibri"/>
          <w:b/>
          <w:bCs w:val="0"/>
          <w:lang w:eastAsia="en-US"/>
        </w:rPr>
      </w:pPr>
    </w:p>
    <w:p w:rsidR="004467B1" w:rsidRDefault="004467B1">
      <w:pPr>
        <w:rPr>
          <w:rFonts w:eastAsia="Calibri"/>
          <w:b/>
          <w:bCs w:val="0"/>
          <w:lang w:eastAsia="en-US"/>
        </w:rPr>
      </w:pPr>
    </w:p>
    <w:p w:rsidR="004467B1" w:rsidRDefault="00CC73A7">
      <w:pPr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>Р Е К О М Е Н Д А Ц И </w:t>
      </w:r>
      <w:proofErr w:type="spellStart"/>
      <w:r>
        <w:rPr>
          <w:rFonts w:eastAsia="Calibri"/>
          <w:b/>
          <w:bCs w:val="0"/>
          <w:lang w:eastAsia="en-US"/>
        </w:rPr>
        <w:t>И</w:t>
      </w:r>
      <w:proofErr w:type="spellEnd"/>
    </w:p>
    <w:p w:rsidR="004467B1" w:rsidRDefault="00CC73A7">
      <w:pPr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>круглого стола на тему</w:t>
      </w:r>
    </w:p>
    <w:p w:rsidR="004467B1" w:rsidRDefault="00CC73A7">
      <w:pPr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>«Организация и осуществление туризма на особо охраняемых природных территориях регионального значения»</w:t>
      </w:r>
    </w:p>
    <w:p w:rsidR="004467B1" w:rsidRDefault="004467B1">
      <w:pPr>
        <w:pStyle w:val="ad"/>
        <w:ind w:firstLine="0"/>
        <w:jc w:val="center"/>
      </w:pPr>
    </w:p>
    <w:p w:rsidR="004467B1" w:rsidRDefault="00CC73A7">
      <w:pPr>
        <w:pStyle w:val="ad"/>
      </w:pPr>
      <w:r>
        <w:t>Комиссия Законодательного Собрания Новосибирской области по экологии совместно с министерством природных ресурсов и экологии Новосибирской области прове</w:t>
      </w:r>
      <w:r>
        <w:t>ли круглый стол по теме «Организация и осуществление туризма на особо охраняемых природных территориях регионального значения», участие в котором приняли представители Министерства природных ресурсов и экологии Российской Федерации, Законодательного Собран</w:t>
      </w:r>
      <w:r>
        <w:t>ия Омской области, Законодательного Собрания Новосибирской области, министерства природных ресурсов и экологии Республики Хакасия, министерства природных ресурсов и экологии Новосибирской области, министерства экономического развития Новосибирской области,</w:t>
      </w:r>
      <w:r>
        <w:t xml:space="preserve"> </w:t>
      </w:r>
      <w:r>
        <w:tab/>
        <w:t>Новосибирский межрайонный природоохранный прокурор, представители исполнительного комитета Межрегиональной ассоциации экономического взаимодействия субъектов Российской Федерации «Сибирское соглашение», представители органов местного самоуправления, руко</w:t>
      </w:r>
      <w:r>
        <w:t>водители профильных государственных и муниципальных учреждений, представители научного и экспертного сообщества. Участники круглого стола отмечают следующее.</w:t>
      </w:r>
    </w:p>
    <w:p w:rsidR="004467B1" w:rsidRDefault="00CC73A7">
      <w:pPr>
        <w:pStyle w:val="ad"/>
      </w:pPr>
      <w:r>
        <w:t>Создание особо охраняемых природных территорий является одной из значимых мер по сохранению благоп</w:t>
      </w:r>
      <w:r>
        <w:t>риятной экологической среды. Такие территории относятся к объектам общенационального достояния. Особо охраняемые природные территории различных масштабов представляют перспективный рынок для развития экотуризма в силу их природной и культурной специфики. В</w:t>
      </w:r>
      <w:r>
        <w:t>опросы состояния, перспективы и риски развития туризма на особо охраняемых природных территориях регионального значения, внедрение современных технологий, повышение межведомственного взаимодействия, совершенствование законодательной базы в рамках решения в</w:t>
      </w:r>
      <w:r>
        <w:t xml:space="preserve">опросов по организации и осуществлению туризма на </w:t>
      </w:r>
      <w:r>
        <w:lastRenderedPageBreak/>
        <w:t>региональных особо охраняемых природных территориях имеют важное значение для эффективного развития экономики региона.</w:t>
      </w:r>
    </w:p>
    <w:p w:rsidR="004467B1" w:rsidRDefault="00CC73A7">
      <w:pPr>
        <w:pStyle w:val="ad"/>
      </w:pPr>
      <w:r>
        <w:t>Туризм на особо охраняемых природных территориях – это отдельное и совершенно особое на</w:t>
      </w:r>
      <w:r>
        <w:t xml:space="preserve">правление туристской деятельности, для реализации которого требуется новый подход. </w:t>
      </w:r>
    </w:p>
    <w:p w:rsidR="004467B1" w:rsidRDefault="00CC73A7">
      <w:pPr>
        <w:pStyle w:val="ad"/>
      </w:pPr>
      <w:r>
        <w:t xml:space="preserve">С 1 сентября 2023 года вступили в силу положения статьи 5.2. Федерального закона от 14 марта 1995 года № 33-ФЗ «Об особо охраняемых природных территориях», направленные на </w:t>
      </w:r>
      <w:r>
        <w:t>регулирование вопросов осуществления туризма на особо охраняемых природных территориях. Организация туризма на особо охраняемых природных территориях регионального значения осуществляется органами исполнительной власти субъектов Российской Федерации, в вед</w:t>
      </w:r>
      <w:r>
        <w:t>ении которых находятся такие территории. Органы исполнительной власти субъектов Российской Федерации, в ведении которых находятся особо охраняемые природные территории регионального значения, утверждают правила организации и осуществления туризма, в том чи</w:t>
      </w:r>
      <w:r>
        <w:t>сле обеспечения безопасности туризма на особо охраняемых природных территориях,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типовых пр</w:t>
      </w:r>
      <w:r>
        <w:t>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значения, и типового порядка расчета предельно допустимой рекреационной емкости таких территорий при о</w:t>
      </w:r>
      <w:r>
        <w:t xml:space="preserve">существлении туризма. </w:t>
      </w:r>
    </w:p>
    <w:p w:rsidR="004467B1" w:rsidRDefault="00CC73A7">
      <w:pPr>
        <w:pStyle w:val="ad"/>
      </w:pPr>
      <w:r>
        <w:t>Постановление Правительства Российской Федерации от 21 декабря 2023 года № 2230 «Об утверждении Типовых правил организации и осуществления туризма, в том числе обеспечения безопасности туризма на особо охраняемых природных территория</w:t>
      </w:r>
      <w:r>
        <w:t xml:space="preserve">х регионального и местного значения» вступает в силу с 1 сентября 2024 года. Посещение физическими лицами особо охраняемых природных территорий, в том числе в целях туризма, осуществляется в соответствии с установленным для таких территорий режимом особой </w:t>
      </w:r>
      <w:r>
        <w:t>охраны.</w:t>
      </w:r>
    </w:p>
    <w:p w:rsidR="004467B1" w:rsidRDefault="00CC73A7">
      <w:pPr>
        <w:pStyle w:val="ad"/>
      </w:pPr>
      <w:r>
        <w:t xml:space="preserve">С учетом вступления в силу названных федеральных законодательных положений пунктами 12.2–12.4 статьи 5 Закона Новосибирской области от 26 сентября 2005 года № 325-ОЗ «Об особо охраняемых природных территориях в Новосибирской области» к полномочиям </w:t>
      </w:r>
      <w:r>
        <w:t>областного исполнительного органа государственной власти Новосибирской области в области охраны и использования особо охраняемых природных территорий регионального значения отнесены организация туризма на особо охраняемых природных территориях региональног</w:t>
      </w:r>
      <w:r>
        <w:t xml:space="preserve">о значения; утверждение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значения; утверждение порядка расчета предельно допустимой рекреационной емкости особо </w:t>
      </w:r>
      <w:r>
        <w:t>охраняемых природных территорий регионального значения при осуществлении туризма.</w:t>
      </w:r>
    </w:p>
    <w:p w:rsidR="004467B1" w:rsidRDefault="00CC73A7">
      <w:pPr>
        <w:pStyle w:val="ad"/>
      </w:pPr>
      <w:r>
        <w:t>Порядок расчета предельно допустимой рекреационной емкости особо охраняемых природных территорий регионального значения при осуществлении туризма утвержден приказом министерства природных ресурсов и экологии Новосибирской области от 4 марта 2024 года № 229</w:t>
      </w:r>
      <w:r>
        <w:t>-НПА.</w:t>
      </w:r>
    </w:p>
    <w:p w:rsidR="004467B1" w:rsidRDefault="00CC73A7">
      <w:pPr>
        <w:pStyle w:val="ad"/>
      </w:pPr>
      <w:r>
        <w:t xml:space="preserve">Правила организации и осуществления туризма, в том числе обеспечения безопасности туризма на особо охраняемых природных территориях регионального </w:t>
      </w:r>
      <w:r>
        <w:lastRenderedPageBreak/>
        <w:t>значения утверждены приказом министерства природных ресурсов и экологии Новосибирской области от 4 марта</w:t>
      </w:r>
      <w:r>
        <w:t xml:space="preserve"> 2024 года № 228-НПА (далее – Правила).</w:t>
      </w:r>
    </w:p>
    <w:p w:rsidR="004467B1" w:rsidRDefault="00CC73A7">
      <w:pPr>
        <w:pStyle w:val="ad"/>
      </w:pPr>
      <w:r>
        <w:t>Согласно пункту 2 Правил организация туризма на особо охраняемых природных территориях регионального значения осуществляется министерством природных ресурсов и экологии Новосибирской области.</w:t>
      </w:r>
    </w:p>
    <w:p w:rsidR="004467B1" w:rsidRDefault="00CC73A7">
      <w:pPr>
        <w:pStyle w:val="ad"/>
      </w:pPr>
      <w:r>
        <w:t>В соответствии с пунктом</w:t>
      </w:r>
      <w:r>
        <w:t xml:space="preserve"> 6 Правил услуги в сфере организации туризма могут оказывать:</w:t>
      </w:r>
    </w:p>
    <w:p w:rsidR="004467B1" w:rsidRDefault="00CC73A7">
      <w:pPr>
        <w:pStyle w:val="ad"/>
      </w:pPr>
      <w:r>
        <w:t>1)</w:t>
      </w:r>
      <w:r>
        <w:tab/>
        <w:t> государственное бюджетное учреждение Новосибирской области «Природоохранная инспекция» (далее – Учреждение);</w:t>
      </w:r>
    </w:p>
    <w:p w:rsidR="004467B1" w:rsidRDefault="00CC73A7">
      <w:pPr>
        <w:pStyle w:val="ad"/>
      </w:pPr>
      <w:r>
        <w:t>2) </w:t>
      </w:r>
      <w:r>
        <w:tab/>
        <w:t>физические и юридические лица, осуществляющие туроператорскую и иную деятельн</w:t>
      </w:r>
      <w:r>
        <w:t xml:space="preserve">ость в соответствии с Федеральным законом от 24 ноября 1996 года </w:t>
      </w:r>
      <w:r w:rsidR="00F45A8A">
        <w:t xml:space="preserve">       </w:t>
      </w:r>
      <w:r>
        <w:t>№ 132-ФЗ «Об основах туристской деятельности в Российской Федерации», а также юридические и физические лица, заключившие в соответствии с требованиями гражданского законодательства и законода</w:t>
      </w:r>
      <w:r>
        <w:t>тельства Российской Федерации о контрактной системе в сфере закупок товаров, работ, услуг для обеспечения государственных и муниципальных нужд гражданско-правовой договор (контракт) с Учреждением, министерством природных ресурсов и экологии Новосибирской о</w:t>
      </w:r>
      <w:r>
        <w:t>бласти.</w:t>
      </w:r>
    </w:p>
    <w:p w:rsidR="004467B1" w:rsidRDefault="00CC73A7">
      <w:pPr>
        <w:pStyle w:val="ad"/>
      </w:pPr>
      <w:r>
        <w:t xml:space="preserve">Перечень основных видов услуг в сфере организации туризма на особо охраняемых природных территориях регионального значения установлен пунктом 13 Правил. </w:t>
      </w:r>
    </w:p>
    <w:p w:rsidR="004467B1" w:rsidRDefault="00CC73A7">
      <w:pPr>
        <w:pStyle w:val="ad"/>
      </w:pPr>
      <w:r>
        <w:t xml:space="preserve">Особенности посещения особо охраняемой природной территории регионального значения определены </w:t>
      </w:r>
      <w:r>
        <w:t>в приложении к Правилам. Учреждение, министерство природных ресурсов и экологии Новосибирской области, юридические лица, физические лица, оказывающие услуги в сфере организации туризма на особо охраняемой природной территории регионального значения, должны</w:t>
      </w:r>
      <w:r>
        <w:t xml:space="preserve"> довести до сведения туристов, экскурсантов особенности посещения особо охраняемой природной территории регионального значения (пункт 12 Правил).</w:t>
      </w:r>
    </w:p>
    <w:p w:rsidR="004467B1" w:rsidRDefault="00CC73A7">
      <w:pPr>
        <w:ind w:firstLine="709"/>
        <w:jc w:val="both"/>
        <w:rPr>
          <w:highlight w:val="white"/>
        </w:rPr>
      </w:pPr>
      <w:r>
        <w:rPr>
          <w:highlight w:val="white"/>
        </w:rPr>
        <w:t>Согласно данным министерства природных ресурсов и экологии Новосибирской области в настоящее время в Новосибир</w:t>
      </w:r>
      <w:r>
        <w:rPr>
          <w:highlight w:val="white"/>
        </w:rPr>
        <w:t>ской области насчитывается 80 особо охраняемых природных территорий регионального значения общей площадью около 1,5 млн га, из них 1 природный парк, 1 лесной парк, 24 государственных природных заказника регионального значения, 54 памятника природы регионал</w:t>
      </w:r>
      <w:r>
        <w:rPr>
          <w:highlight w:val="white"/>
        </w:rPr>
        <w:t>ьного значения.</w:t>
      </w:r>
    </w:p>
    <w:p w:rsidR="004467B1" w:rsidRDefault="00CC73A7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Участниками круглого стола были обозначены наиболее актуальные проблемные вопросы </w:t>
      </w:r>
      <w:r>
        <w:t>организации и осуществления туризма на особо охраняемых природных территориях регионального значения, решение которых требует системного подхода:</w:t>
      </w:r>
    </w:p>
    <w:p w:rsidR="004467B1" w:rsidRDefault="00CC73A7">
      <w:pPr>
        <w:ind w:firstLine="709"/>
        <w:jc w:val="both"/>
        <w:rPr>
          <w:highlight w:val="white"/>
        </w:rPr>
      </w:pPr>
      <w:r>
        <w:rPr>
          <w:highlight w:val="white"/>
        </w:rPr>
        <w:t>1. Недостато</w:t>
      </w:r>
      <w:r>
        <w:rPr>
          <w:highlight w:val="white"/>
        </w:rPr>
        <w:t xml:space="preserve">чно развитая туристская инфраструктура, малое количество средств коллективного размещения с современным уровнем комфорта и региональным колоритом, необходимость подготовки плана развития </w:t>
      </w:r>
      <w:r>
        <w:t>туристской инфраструктуры на особо охраняемых природных территориях н</w:t>
      </w:r>
      <w:r>
        <w:t>е только за счет бюджетных средств, но и привлечения инвесторов.</w:t>
      </w:r>
    </w:p>
    <w:p w:rsidR="004467B1" w:rsidRDefault="00CC73A7">
      <w:pPr>
        <w:ind w:firstLine="709"/>
        <w:jc w:val="both"/>
        <w:rPr>
          <w:highlight w:val="white"/>
        </w:rPr>
      </w:pPr>
      <w:r>
        <w:rPr>
          <w:highlight w:val="white"/>
        </w:rPr>
        <w:t>2. Недостаточный уровень инвестиционных вложений в туристскую отрасль на особо охраняемых природных территориях регионального значения и недостаточная предпринимательская активность населения</w:t>
      </w:r>
      <w:r>
        <w:rPr>
          <w:highlight w:val="white"/>
        </w:rPr>
        <w:t xml:space="preserve"> в этой сфере.</w:t>
      </w:r>
    </w:p>
    <w:p w:rsidR="004467B1" w:rsidRDefault="00CC73A7">
      <w:pPr>
        <w:ind w:firstLine="709"/>
        <w:jc w:val="both"/>
        <w:rPr>
          <w:highlight w:val="white"/>
        </w:rPr>
      </w:pPr>
      <w:r>
        <w:rPr>
          <w:highlight w:val="white"/>
        </w:rPr>
        <w:lastRenderedPageBreak/>
        <w:t xml:space="preserve">3. Недостаточно эффективное использование информационных технологий и передовых цифровых технологий в вопросах развития и продвижения туристского потенциала </w:t>
      </w:r>
      <w:r>
        <w:t>особо охраняемых природных территорий регионального значения.</w:t>
      </w:r>
    </w:p>
    <w:p w:rsidR="004467B1" w:rsidRDefault="00CC73A7">
      <w:pPr>
        <w:ind w:firstLine="709"/>
        <w:jc w:val="both"/>
      </w:pPr>
      <w:r>
        <w:rPr>
          <w:highlight w:val="white"/>
        </w:rPr>
        <w:t>4. </w:t>
      </w:r>
      <w:r>
        <w:t>Необходимость прове</w:t>
      </w:r>
      <w:r>
        <w:t>дения работ по оценке рисков и возможных негативных последствий для сохранения особо охраняемых природных территорий регионального значения, а также проведения мониторинга на уже используемых в целях туризма особо охраняемых природных территориях.</w:t>
      </w:r>
    </w:p>
    <w:p w:rsidR="004467B1" w:rsidRDefault="00CC73A7">
      <w:pPr>
        <w:ind w:firstLine="709"/>
        <w:jc w:val="both"/>
      </w:pPr>
      <w:r>
        <w:t>5. Необх</w:t>
      </w:r>
      <w:r>
        <w:t>одимость подготовки специалистов для сферы экологического туризма на особо охраняемых природных территориях регионального значения, в том числе аттестованных экскурсоводов (гидов), гидов-переводчиков и инструкторов-проводников.</w:t>
      </w:r>
    </w:p>
    <w:p w:rsidR="004467B1" w:rsidRDefault="00CC73A7">
      <w:pPr>
        <w:ind w:firstLine="709"/>
        <w:jc w:val="both"/>
      </w:pPr>
      <w:r>
        <w:t>6. Необходимость экологическ</w:t>
      </w:r>
      <w:r>
        <w:t>ого просвещения граждан в сфере туризма на особо охраняемых природных территориях.</w:t>
      </w:r>
    </w:p>
    <w:p w:rsidR="004467B1" w:rsidRDefault="00CC73A7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 целях </w:t>
      </w:r>
      <w:r>
        <w:t xml:space="preserve">объединения сил всех заинтересованных сторон, </w:t>
      </w:r>
      <w:r>
        <w:rPr>
          <w:highlight w:val="white"/>
        </w:rPr>
        <w:t>обеспечения</w:t>
      </w:r>
      <w:r>
        <w:t xml:space="preserve"> межведомственного взаимодействия и формирования</w:t>
      </w:r>
      <w:r>
        <w:rPr>
          <w:highlight w:val="white"/>
        </w:rPr>
        <w:t xml:space="preserve"> системного подхода к решению проблем организации и осуществ</w:t>
      </w:r>
      <w:r>
        <w:rPr>
          <w:highlight w:val="white"/>
        </w:rPr>
        <w:t>ления туризма на особо охраняемых природных территориях регионального значения участники круглого стола полагают целесообразным рекомендовать:</w:t>
      </w:r>
    </w:p>
    <w:p w:rsidR="004467B1" w:rsidRDefault="00CC73A7">
      <w:pPr>
        <w:ind w:firstLine="709"/>
        <w:jc w:val="both"/>
        <w:rPr>
          <w:b/>
          <w:highlight w:val="white"/>
        </w:rPr>
      </w:pPr>
      <w:r>
        <w:rPr>
          <w:b/>
          <w:highlight w:val="white"/>
        </w:rPr>
        <w:t>Правительству Новосибирской области:</w:t>
      </w:r>
    </w:p>
    <w:p w:rsidR="004467B1" w:rsidRDefault="00CC73A7">
      <w:pPr>
        <w:ind w:firstLine="709"/>
        <w:jc w:val="both"/>
      </w:pPr>
      <w:r>
        <w:t>обеспечить эффективное межведомственное взаимодействие областных исполнитель</w:t>
      </w:r>
      <w:r>
        <w:t xml:space="preserve">ных органов государственной власти Новосибирской области в целях развития туризма на особо охраняемых природных территориях регионального значения с учетом принципов сохранения уникальных и </w:t>
      </w:r>
      <w:proofErr w:type="gramStart"/>
      <w:r>
        <w:t>типичных природных комплексов</w:t>
      </w:r>
      <w:proofErr w:type="gramEnd"/>
      <w:r>
        <w:t xml:space="preserve"> и объектов, объектов растительного и</w:t>
      </w:r>
      <w:r>
        <w:t xml:space="preserve"> животного мира, естественных экологических систем, биоразнообразия, минимизации негативного воздействия на окружающую среду при осуществлении туризма.</w:t>
      </w:r>
    </w:p>
    <w:p w:rsidR="004467B1" w:rsidRDefault="00CC73A7">
      <w:pPr>
        <w:ind w:firstLine="709"/>
        <w:jc w:val="both"/>
        <w:rPr>
          <w:i/>
        </w:rPr>
      </w:pPr>
      <w:r>
        <w:rPr>
          <w:i/>
        </w:rPr>
        <w:t>Срок: постоянно.</w:t>
      </w:r>
    </w:p>
    <w:p w:rsidR="004467B1" w:rsidRDefault="00CC73A7">
      <w:pPr>
        <w:ind w:firstLine="709"/>
        <w:jc w:val="both"/>
        <w:rPr>
          <w:b/>
        </w:rPr>
      </w:pPr>
      <w:r>
        <w:rPr>
          <w:b/>
        </w:rPr>
        <w:t>Министерству природных ресурсов и экологии Новосибирской области:</w:t>
      </w:r>
    </w:p>
    <w:p w:rsidR="004467B1" w:rsidRDefault="00CC73A7">
      <w:pPr>
        <w:ind w:firstLine="709"/>
        <w:jc w:val="both"/>
      </w:pPr>
      <w:r>
        <w:t>1) </w:t>
      </w:r>
      <w:r>
        <w:t xml:space="preserve">создать рабочую группу для выработки эффективных механизмов решения поставленных на круглом столе вопросов, в которую включить </w:t>
      </w:r>
      <w:proofErr w:type="gramStart"/>
      <w:r>
        <w:t>представителей</w:t>
      </w:r>
      <w:proofErr w:type="gramEnd"/>
      <w:r>
        <w:t xml:space="preserve"> заинтересованных областных исполнительных органов государственной власти Новосибирской области, депутатов-членов к</w:t>
      </w:r>
      <w:r>
        <w:t>омиссии Законодательного Собрания Новосибирской области по экологии, представителей органов местного самоуправления, научного и экспертного сообщества;</w:t>
      </w:r>
    </w:p>
    <w:p w:rsidR="004467B1" w:rsidRDefault="00CC73A7">
      <w:pPr>
        <w:ind w:firstLine="709"/>
        <w:jc w:val="both"/>
        <w:rPr>
          <w:i/>
        </w:rPr>
      </w:pPr>
      <w:r>
        <w:rPr>
          <w:i/>
        </w:rPr>
        <w:t>Срок: 31.08.2024.</w:t>
      </w:r>
    </w:p>
    <w:p w:rsidR="004467B1" w:rsidRDefault="00CC73A7">
      <w:pPr>
        <w:ind w:firstLine="709"/>
        <w:jc w:val="both"/>
      </w:pPr>
      <w:r>
        <w:t>2) совместно с комиссией Законодательного Собрания Новосибирской области по экологии п</w:t>
      </w:r>
      <w:r>
        <w:t>одготовить предложение в Правительство Новосибирской области о проведении в городе Новосибирске расширенного совещания по развитию особо охраняемых природных территорий регионального значения в Сибирском федеральном округе, в повестку которого войдет обсуж</w:t>
      </w:r>
      <w:r>
        <w:t xml:space="preserve">дение механизмов привлечения инвесторов в проекты по созданию туристской инфраструктуры и программ по развитию в особо охраняемых природных территориях регионального значения рекреационных зон, обмен опытом между субъектами Российской Федерации, входящими </w:t>
      </w:r>
      <w:r>
        <w:t>в состав Сибирского федерального округа.</w:t>
      </w:r>
    </w:p>
    <w:p w:rsidR="004467B1" w:rsidRDefault="00CC73A7">
      <w:pPr>
        <w:ind w:firstLine="709"/>
        <w:jc w:val="both"/>
        <w:rPr>
          <w:i/>
        </w:rPr>
      </w:pPr>
      <w:r>
        <w:rPr>
          <w:i/>
        </w:rPr>
        <w:t>Срок: 31.09.2024.</w:t>
      </w:r>
    </w:p>
    <w:p w:rsidR="004467B1" w:rsidRDefault="004467B1">
      <w:pPr>
        <w:ind w:firstLine="709"/>
        <w:jc w:val="both"/>
        <w:rPr>
          <w:i/>
        </w:rPr>
      </w:pPr>
    </w:p>
    <w:p w:rsidR="004467B1" w:rsidRDefault="004467B1">
      <w:pPr>
        <w:ind w:firstLine="709"/>
        <w:jc w:val="both"/>
        <w:rPr>
          <w:i/>
        </w:rPr>
      </w:pPr>
    </w:p>
    <w:p w:rsidR="004467B1" w:rsidRDefault="00CC73A7">
      <w:pPr>
        <w:ind w:firstLine="709"/>
        <w:jc w:val="both"/>
      </w:pPr>
      <w:r>
        <w:rPr>
          <w:b/>
        </w:rPr>
        <w:lastRenderedPageBreak/>
        <w:t>Министерству цифрового развития и связи Новосибирской области</w:t>
      </w:r>
      <w:r>
        <w:t>:</w:t>
      </w:r>
    </w:p>
    <w:p w:rsidR="004467B1" w:rsidRDefault="00CC73A7">
      <w:pPr>
        <w:ind w:firstLine="709"/>
        <w:jc w:val="both"/>
      </w:pPr>
      <w:r>
        <w:t xml:space="preserve">совместно с министерством природных ресурсов и экологии Новосибирской области проработать варианты внедрения цифровых технологий </w:t>
      </w:r>
      <w:r>
        <w:t>для развития и продвижения туристского потенциала особо охраняемых природных территорий регионального значения в Новосибирской области, создания единой электронной картографической платформы те</w:t>
      </w:r>
      <w:r w:rsidR="00F45A8A">
        <w:t xml:space="preserve">рритории Новосибирской области </w:t>
      </w:r>
      <w:bookmarkStart w:id="0" w:name="_GoBack"/>
      <w:bookmarkEnd w:id="0"/>
      <w:r>
        <w:t>с отражением зон по профилю дея</w:t>
      </w:r>
      <w:r>
        <w:t>тельности министерства природных ресурсов и экологии Новосибирской области</w:t>
      </w:r>
      <w:r>
        <w:t>.</w:t>
      </w:r>
    </w:p>
    <w:p w:rsidR="004467B1" w:rsidRDefault="00CC73A7">
      <w:pPr>
        <w:ind w:firstLine="709"/>
        <w:jc w:val="both"/>
        <w:rPr>
          <w:i/>
        </w:rPr>
      </w:pPr>
      <w:r>
        <w:rPr>
          <w:i/>
        </w:rPr>
        <w:t>Срок: 31.09.2024.</w:t>
      </w:r>
    </w:p>
    <w:p w:rsidR="004467B1" w:rsidRDefault="004467B1">
      <w:pPr>
        <w:pStyle w:val="ad"/>
        <w:ind w:firstLine="0"/>
        <w:jc w:val="center"/>
      </w:pPr>
    </w:p>
    <w:p w:rsidR="004467B1" w:rsidRDefault="004467B1">
      <w:pPr>
        <w:pStyle w:val="ad"/>
        <w:ind w:firstLine="0"/>
        <w:jc w:val="center"/>
      </w:pPr>
    </w:p>
    <w:p w:rsidR="004467B1" w:rsidRDefault="004467B1">
      <w:pPr>
        <w:pStyle w:val="ad"/>
        <w:ind w:firstLine="0"/>
        <w:jc w:val="center"/>
      </w:pPr>
    </w:p>
    <w:p w:rsidR="004467B1" w:rsidRDefault="00CC73A7">
      <w:pPr>
        <w:pStyle w:val="1"/>
        <w:tabs>
          <w:tab w:val="right" w:pos="10206"/>
        </w:tabs>
        <w:spacing w:before="120" w:after="120"/>
        <w:ind w:firstLine="0"/>
        <w:jc w:val="left"/>
        <w:rPr>
          <w:b w:val="0"/>
        </w:rPr>
      </w:pPr>
      <w:r>
        <w:rPr>
          <w:b w:val="0"/>
        </w:rPr>
        <w:t>Председательствующий</w:t>
      </w:r>
      <w:r>
        <w:rPr>
          <w:b w:val="0"/>
        </w:rPr>
        <w:tab/>
        <w:t>Я.А. Фролов</w:t>
      </w:r>
    </w:p>
    <w:sectPr w:rsidR="004467B1">
      <w:footerReference w:type="default" r:id="rId10"/>
      <w:pgSz w:w="11907" w:h="16840"/>
      <w:pgMar w:top="567" w:right="567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3A7" w:rsidRDefault="00CC73A7">
      <w:r>
        <w:separator/>
      </w:r>
    </w:p>
  </w:endnote>
  <w:endnote w:type="continuationSeparator" w:id="0">
    <w:p w:rsidR="00CC73A7" w:rsidRDefault="00CC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B1" w:rsidRDefault="00CC73A7">
    <w:pPr>
      <w:pStyle w:val="ad"/>
      <w:ind w:firstLine="0"/>
      <w:jc w:val="center"/>
      <w:rPr>
        <w:sz w:val="18"/>
        <w:szCs w:val="18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F45A8A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3A7" w:rsidRDefault="00CC73A7">
      <w:r>
        <w:separator/>
      </w:r>
    </w:p>
  </w:footnote>
  <w:footnote w:type="continuationSeparator" w:id="0">
    <w:p w:rsidR="00CC73A7" w:rsidRDefault="00CC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4BB9"/>
    <w:multiLevelType w:val="hybridMultilevel"/>
    <w:tmpl w:val="7454168C"/>
    <w:lvl w:ilvl="0" w:tplc="5CB2AE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FC5C19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A870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C74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8AD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9603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D49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041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E47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7843B4"/>
    <w:multiLevelType w:val="hybridMultilevel"/>
    <w:tmpl w:val="3398D3E8"/>
    <w:lvl w:ilvl="0" w:tplc="FC5E3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666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3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9C67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F4BB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9804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2F6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6F7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6080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4F365D"/>
    <w:multiLevelType w:val="hybridMultilevel"/>
    <w:tmpl w:val="BB1EFB86"/>
    <w:lvl w:ilvl="0" w:tplc="D0DC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8668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A3C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30B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2AE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1C56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6E3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8CC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E09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B1"/>
    <w:rsid w:val="004467B1"/>
    <w:rsid w:val="00CC73A7"/>
    <w:rsid w:val="00ED0DFE"/>
    <w:rsid w:val="00F4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F80B"/>
  <w15:docId w15:val="{736691F8-651A-41B9-93D5-73AEB7C6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bCs w:val="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 w:val="0"/>
      <w:szCs w:val="20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  <w:pPr>
      <w:ind w:firstLine="340"/>
      <w:jc w:val="both"/>
    </w:pPr>
    <w:rPr>
      <w:bCs w:val="0"/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link w:val="afb"/>
    <w:qFormat/>
    <w:pPr>
      <w:jc w:val="center"/>
    </w:pPr>
    <w:rPr>
      <w:b/>
      <w:bCs w:val="0"/>
      <w:szCs w:val="20"/>
    </w:rPr>
  </w:style>
  <w:style w:type="character" w:styleId="afc">
    <w:name w:val="page number"/>
    <w:basedOn w:val="a0"/>
  </w:style>
  <w:style w:type="paragraph" w:styleId="afd">
    <w:name w:val="Body Text"/>
    <w:basedOn w:val="a"/>
    <w:link w:val="afe"/>
    <w:pPr>
      <w:jc w:val="center"/>
    </w:pPr>
    <w:rPr>
      <w:b/>
      <w:bCs w:val="0"/>
      <w:sz w:val="24"/>
      <w:szCs w:val="20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ff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f0">
    <w:name w:val="Plain Text"/>
    <w:basedOn w:val="a"/>
    <w:rPr>
      <w:rFonts w:ascii="Courier New" w:hAnsi="Courier New"/>
      <w:bCs w:val="0"/>
      <w:sz w:val="20"/>
      <w:szCs w:val="20"/>
    </w:rPr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b">
    <w:name w:val="Название Знак"/>
    <w:link w:val="afa"/>
    <w:rPr>
      <w:b/>
      <w:sz w:val="28"/>
    </w:rPr>
  </w:style>
  <w:style w:type="character" w:customStyle="1" w:styleId="a8">
    <w:name w:val="Подзаголовок Знак"/>
    <w:link w:val="a7"/>
    <w:rPr>
      <w:b/>
      <w:sz w:val="28"/>
    </w:rPr>
  </w:style>
  <w:style w:type="character" w:customStyle="1" w:styleId="ae">
    <w:name w:val="Нижний колонтитул Знак"/>
    <w:link w:val="ad"/>
    <w:uiPriority w:val="99"/>
    <w:rPr>
      <w:sz w:val="28"/>
    </w:rPr>
  </w:style>
  <w:style w:type="character" w:customStyle="1" w:styleId="afe">
    <w:name w:val="Основной текст Знак"/>
    <w:link w:val="afd"/>
    <w:rPr>
      <w:b/>
      <w:sz w:val="24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10">
    <w:name w:val="Заголовок 1 Знак"/>
    <w:link w:val="1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_eko@zs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cology_nso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lastModifiedBy>Коновальчикова Софья Сергеевна</cp:lastModifiedBy>
  <cp:revision>3</cp:revision>
  <dcterms:created xsi:type="dcterms:W3CDTF">2024-07-10T08:08:00Z</dcterms:created>
  <dcterms:modified xsi:type="dcterms:W3CDTF">2024-07-10T08:17:00Z</dcterms:modified>
  <cp:version>1048576</cp:version>
</cp:coreProperties>
</file>